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214619A3"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t>R2-</w:t>
      </w:r>
      <w:r w:rsidR="002A0917" w:rsidRPr="002A0917">
        <w:rPr>
          <w:bCs/>
          <w:noProof w:val="0"/>
          <w:sz w:val="24"/>
          <w:szCs w:val="24"/>
        </w:rPr>
        <w:t>25082</w:t>
      </w:r>
      <w:r w:rsidR="0038285E">
        <w:rPr>
          <w:bCs/>
          <w:noProof w:val="0"/>
          <w:sz w:val="24"/>
          <w:szCs w:val="24"/>
        </w:rPr>
        <w:t>89</w:t>
      </w:r>
      <w:r w:rsidR="002A0917" w:rsidRPr="002A0917" w:rsidDel="002A0917">
        <w:rPr>
          <w:bCs/>
          <w:noProof w:val="0"/>
          <w:sz w:val="24"/>
          <w:szCs w:val="24"/>
        </w:rPr>
        <w:t xml:space="preserve"> </w:t>
      </w:r>
    </w:p>
    <w:p w14:paraId="3041C890" w14:textId="432319EC" w:rsidR="00EC34CB" w:rsidRPr="005A5862" w:rsidRDefault="00844F57" w:rsidP="00EC34CB">
      <w:pPr>
        <w:pStyle w:val="Header"/>
        <w:tabs>
          <w:tab w:val="right" w:pos="9641"/>
        </w:tabs>
        <w:rPr>
          <w:rFonts w:eastAsia="SimSun"/>
          <w:bCs/>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357A64DC"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0917">
        <w:rPr>
          <w:rFonts w:cs="Arial"/>
          <w:b/>
          <w:bCs/>
          <w:sz w:val="24"/>
          <w:lang w:eastAsia="ja-JP"/>
        </w:rPr>
        <w:t>8</w:t>
      </w:r>
      <w:r>
        <w:rPr>
          <w:rFonts w:cs="Arial"/>
          <w:b/>
          <w:bCs/>
          <w:sz w:val="24"/>
          <w:lang w:eastAsia="ja-JP"/>
        </w:rPr>
        <w:t>.</w:t>
      </w:r>
      <w:r w:rsidR="002A0917">
        <w:rPr>
          <w:rFonts w:cs="Arial"/>
          <w:b/>
          <w:bCs/>
          <w:sz w:val="24"/>
          <w:lang w:eastAsia="ja-JP"/>
        </w:rPr>
        <w:t>8</w:t>
      </w:r>
      <w:r>
        <w:rPr>
          <w:rFonts w:cs="Arial"/>
          <w:b/>
          <w:bCs/>
          <w:sz w:val="24"/>
          <w:lang w:eastAsia="ja-JP"/>
        </w:rPr>
        <w:t>.</w:t>
      </w:r>
      <w:r w:rsidR="002A0917">
        <w:rPr>
          <w:rFonts w:cs="Arial"/>
          <w:b/>
          <w:bCs/>
          <w:sz w:val="24"/>
          <w:lang w:eastAsia="ja-JP"/>
        </w:rPr>
        <w:t>2</w:t>
      </w:r>
    </w:p>
    <w:p w14:paraId="69D2481F" w14:textId="534AC5A4"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A0917">
        <w:rPr>
          <w:rFonts w:ascii="Arial" w:hAnsi="Arial" w:cs="Arial"/>
          <w:b/>
          <w:bCs/>
          <w:sz w:val="24"/>
        </w:rPr>
        <w:t>, Nokia Shanghai Bel</w:t>
      </w:r>
      <w:r w:rsidR="00FC21EC">
        <w:rPr>
          <w:rFonts w:ascii="Arial" w:hAnsi="Arial" w:cs="Arial"/>
          <w:b/>
          <w:bCs/>
          <w:sz w:val="24"/>
        </w:rPr>
        <w:t>l</w:t>
      </w:r>
    </w:p>
    <w:p w14:paraId="4325AA79" w14:textId="5644D326"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137E0">
        <w:rPr>
          <w:rFonts w:ascii="Arial" w:hAnsi="Arial" w:cs="Arial"/>
          <w:b/>
          <w:bCs/>
          <w:sz w:val="24"/>
        </w:rPr>
        <w:t>Remaining</w:t>
      </w:r>
      <w:r w:rsidR="00FC21EC">
        <w:rPr>
          <w:rFonts w:ascii="Arial" w:hAnsi="Arial" w:cs="Arial"/>
          <w:b/>
          <w:bCs/>
          <w:sz w:val="24"/>
        </w:rPr>
        <w:t xml:space="preserve"> issues on Downlink coverage enhancements</w:t>
      </w:r>
    </w:p>
    <w:p w14:paraId="1709BC4D" w14:textId="31F56237"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834FC" w:rsidRPr="00C834FC">
        <w:rPr>
          <w:rFonts w:ascii="Arial" w:hAnsi="Arial" w:cs="Arial"/>
          <w:b/>
          <w:bCs/>
          <w:sz w:val="24"/>
        </w:rPr>
        <w:t>NR_NTN_Ph3-</w:t>
      </w:r>
      <w:proofErr w:type="gramStart"/>
      <w:r w:rsidR="00C834FC" w:rsidRPr="00C834FC">
        <w:rPr>
          <w:rFonts w:ascii="Arial" w:hAnsi="Arial" w:cs="Arial"/>
          <w:b/>
          <w:bCs/>
          <w:sz w:val="24"/>
        </w:rPr>
        <w:t>Core</w:t>
      </w:r>
      <w:r w:rsidR="00C834FC" w:rsidRPr="00C834FC" w:rsidDel="00C834FC">
        <w:rPr>
          <w:rFonts w:ascii="Arial" w:hAnsi="Arial" w:cs="Arial"/>
          <w:b/>
          <w:bCs/>
          <w:sz w:val="24"/>
        </w:rPr>
        <w:t xml:space="preserve"> </w:t>
      </w:r>
      <w:r w:rsidRPr="00112F1A">
        <w:rPr>
          <w:rFonts w:ascii="Arial" w:hAnsi="Arial" w:cs="Arial"/>
          <w:b/>
          <w:bCs/>
          <w:sz w:val="24"/>
        </w:rPr>
        <w:t xml:space="preserve"> </w:t>
      </w:r>
      <w:r>
        <w:rPr>
          <w:rFonts w:ascii="Arial" w:hAnsi="Arial" w:cs="Arial"/>
          <w:b/>
          <w:bCs/>
          <w:sz w:val="24"/>
        </w:rPr>
        <w:t>-</w:t>
      </w:r>
      <w:proofErr w:type="gramEnd"/>
      <w:r>
        <w:rPr>
          <w:rFonts w:ascii="Arial" w:hAnsi="Arial" w:cs="Arial"/>
          <w:b/>
          <w:bCs/>
          <w:sz w:val="24"/>
        </w:rPr>
        <w:t xml:space="preserve"> Release </w:t>
      </w:r>
      <w:r w:rsidR="00C834FC">
        <w:rPr>
          <w:rFonts w:ascii="Arial" w:hAnsi="Arial" w:cs="Arial"/>
          <w:b/>
          <w:bCs/>
          <w:sz w:val="24"/>
        </w:rPr>
        <w:t>19</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159762BD" w14:textId="33EB8BED" w:rsidR="00EC34CB" w:rsidRDefault="00A52B43" w:rsidP="00EC34CB">
      <w:r>
        <w:t xml:space="preserve">This Tdoc address’ the </w:t>
      </w:r>
      <w:r w:rsidR="00644056">
        <w:t xml:space="preserve">postponed issues on </w:t>
      </w:r>
      <w:r w:rsidR="009978FD">
        <w:t>Downlink coverage enhancement</w:t>
      </w:r>
      <w:r w:rsidR="00644056">
        <w:t xml:space="preserve"> from RAN2#13</w:t>
      </w:r>
      <w:r w:rsidR="009978FD">
        <w:t>1bis</w:t>
      </w:r>
      <w:r w:rsidR="00871C1B">
        <w:t>.</w:t>
      </w:r>
    </w:p>
    <w:p w14:paraId="6BB3AAA0" w14:textId="0CCCDDD9" w:rsidR="00EC34CB" w:rsidRPr="006E13D1" w:rsidRDefault="00EC34CB" w:rsidP="00EC34CB">
      <w:pPr>
        <w:pStyle w:val="Heading1"/>
      </w:pPr>
      <w:r w:rsidRPr="006E13D1">
        <w:t>2</w:t>
      </w:r>
      <w:r w:rsidRPr="006E13D1">
        <w:tab/>
      </w:r>
      <w:r w:rsidR="001C7223">
        <w:t>Discussion</w:t>
      </w:r>
    </w:p>
    <w:p w14:paraId="21965327" w14:textId="2238E8A4" w:rsidR="004573EE" w:rsidRDefault="004573EE" w:rsidP="00EC34CB">
      <w:pPr>
        <w:pStyle w:val="Heading2"/>
      </w:pPr>
      <w:r>
        <w:t>2.1</w:t>
      </w:r>
      <w:r>
        <w:tab/>
      </w:r>
      <w:r w:rsidR="003B1481">
        <w:t xml:space="preserve">[A200] </w:t>
      </w:r>
      <w:r w:rsidR="00705A09">
        <w:t>Reference location association with smtc1</w:t>
      </w:r>
    </w:p>
    <w:p w14:paraId="53F13577" w14:textId="78FD2AC8" w:rsidR="00705A09" w:rsidRDefault="005E4734" w:rsidP="00705A09">
      <w:r>
        <w:t xml:space="preserve">One postponed </w:t>
      </w:r>
      <w:hyperlink r:id="rId13" w:history="1">
        <w:r w:rsidRPr="003A3CEC">
          <w:rPr>
            <w:rStyle w:val="Hyperlink"/>
          </w:rPr>
          <w:t>issue</w:t>
        </w:r>
      </w:hyperlink>
      <w:r>
        <w:t xml:space="preserve"> from RAN2#131bis was</w:t>
      </w:r>
      <w:r w:rsidR="003A3CEC">
        <w:t xml:space="preserve"> RIL</w:t>
      </w:r>
      <w:r w:rsidR="00D21E2F">
        <w:t xml:space="preserve"> </w:t>
      </w:r>
      <w:r w:rsidR="003A3CEC">
        <w:t>A200 on</w:t>
      </w:r>
      <w:r>
        <w:t xml:space="preserve"> whether the Rel-15 SMTC in SIB2 should be able to be associated with a reference location </w:t>
      </w:r>
      <w:r w:rsidR="00E50C29">
        <w:t xml:space="preserve">in </w:t>
      </w:r>
      <w:r w:rsidR="00E50C29" w:rsidRPr="00E50C29">
        <w:rPr>
          <w:i/>
          <w:iCs/>
        </w:rPr>
        <w:t>refLocList-r19</w:t>
      </w:r>
      <w:r w:rsidR="00E50C29">
        <w:t>. Th</w:t>
      </w:r>
      <w:r w:rsidR="00D21E2F">
        <w:t xml:space="preserve">is was based on the assumption </w:t>
      </w:r>
      <w:r w:rsidR="00E50C29" w:rsidDel="00D21E2F">
        <w:t xml:space="preserve">that </w:t>
      </w:r>
      <w:r w:rsidR="00D21E2F">
        <w:t>the serving cell</w:t>
      </w:r>
      <w:r w:rsidR="00307EAD">
        <w:t xml:space="preserve"> </w:t>
      </w:r>
      <w:r w:rsidR="00D21E2F">
        <w:t>is the one mandated to</w:t>
      </w:r>
      <w:r w:rsidR="00307EAD">
        <w:t xml:space="preserve"> provide the </w:t>
      </w:r>
      <w:r w:rsidR="00C472D5">
        <w:t xml:space="preserve">largest periodicity and thus allowing a reference location to be associated would provide the </w:t>
      </w:r>
      <w:r w:rsidR="00307EAD">
        <w:t xml:space="preserve">network flexibility </w:t>
      </w:r>
      <w:r w:rsidR="00E00A9C">
        <w:t>to i.e. have the largest periodicity on another cell, compared to the serving cell.</w:t>
      </w:r>
    </w:p>
    <w:p w14:paraId="4DC4F7CC" w14:textId="7BFF8939" w:rsidR="00651AB8" w:rsidRDefault="00651AB8" w:rsidP="00705A09">
      <w:r>
        <w:t xml:space="preserve">The original description and proposed changes are: </w:t>
      </w:r>
    </w:p>
    <w:tbl>
      <w:tblPr>
        <w:tblStyle w:val="TableGrid"/>
        <w:tblW w:w="9631" w:type="dxa"/>
        <w:tblLook w:val="04A0" w:firstRow="1" w:lastRow="0" w:firstColumn="1" w:lastColumn="0" w:noHBand="0" w:noVBand="1"/>
      </w:tblPr>
      <w:tblGrid>
        <w:gridCol w:w="9631"/>
      </w:tblGrid>
      <w:tr w:rsidR="003D349D" w14:paraId="59EDC527" w14:textId="77777777" w:rsidTr="003D349D">
        <w:tc>
          <w:tcPr>
            <w:tcW w:w="9631" w:type="dxa"/>
            <w:tcBorders>
              <w:top w:val="single" w:sz="4" w:space="0" w:color="auto"/>
              <w:left w:val="single" w:sz="4" w:space="0" w:color="auto"/>
              <w:bottom w:val="single" w:sz="4" w:space="0" w:color="auto"/>
              <w:right w:val="single" w:sz="4" w:space="0" w:color="auto"/>
            </w:tcBorders>
          </w:tcPr>
          <w:p w14:paraId="2364EA8E" w14:textId="77777777" w:rsidR="003D349D" w:rsidRPr="00651AB8" w:rsidRDefault="003D349D" w:rsidP="002A26C4">
            <w:r w:rsidRPr="00651AB8">
              <w:rPr>
                <w:b/>
              </w:rPr>
              <w:t>[Description]</w:t>
            </w:r>
            <w:r w:rsidRPr="00651AB8">
              <w:t xml:space="preserve">: The current assumption from CR rapporteur is SMTC in SIB2 is associated with reference location in SIB19, and it is used for serving cell measurement. We think it is not always the case. Note that when NW provides </w:t>
            </w:r>
            <w:proofErr w:type="spellStart"/>
            <w:r w:rsidRPr="00651AB8">
              <w:t>smtc</w:t>
            </w:r>
            <w:proofErr w:type="spellEnd"/>
            <w:r w:rsidRPr="00651AB8">
              <w:t xml:space="preserve"> in SIB2, it should associate with the largest SSB periodicity of serving and </w:t>
            </w:r>
            <w:proofErr w:type="spellStart"/>
            <w:r w:rsidRPr="00651AB8">
              <w:t>neighbor</w:t>
            </w:r>
            <w:proofErr w:type="spellEnd"/>
            <w:r w:rsidRPr="00651AB8">
              <w:t xml:space="preserve"> cell. For example, if serving cell has a SSB periodicity of 160ms, and </w:t>
            </w:r>
            <w:proofErr w:type="spellStart"/>
            <w:r w:rsidRPr="00651AB8">
              <w:t>neighbor</w:t>
            </w:r>
            <w:proofErr w:type="spellEnd"/>
            <w:r w:rsidRPr="00651AB8">
              <w:t xml:space="preserve"> cell has a SSB periodicity of 20ms, the </w:t>
            </w:r>
            <w:proofErr w:type="spellStart"/>
            <w:r w:rsidRPr="00651AB8">
              <w:t>smtc</w:t>
            </w:r>
            <w:proofErr w:type="spellEnd"/>
            <w:r w:rsidRPr="00651AB8">
              <w:t xml:space="preserve"> in SIB2 has to be with 160ms periodicity. That is, it is actually for </w:t>
            </w:r>
            <w:proofErr w:type="spellStart"/>
            <w:r w:rsidRPr="00651AB8">
              <w:t>neighbor</w:t>
            </w:r>
            <w:proofErr w:type="spellEnd"/>
            <w:r w:rsidRPr="00651AB8">
              <w:t xml:space="preserve"> cell measurement. And smtc5list can provide another periodicity of 20ms for serving cell measurement.</w:t>
            </w:r>
          </w:p>
          <w:p w14:paraId="71871EA0" w14:textId="77777777" w:rsidR="003D349D" w:rsidRPr="00651AB8" w:rsidRDefault="003D349D" w:rsidP="002A26C4">
            <w:r w:rsidRPr="00651AB8">
              <w:t xml:space="preserve">Therefore, we would like to clarify that there should be an explicit reference location associated with legacy </w:t>
            </w:r>
            <w:proofErr w:type="spellStart"/>
            <w:r w:rsidRPr="00651AB8">
              <w:t>smtc</w:t>
            </w:r>
            <w:proofErr w:type="spellEnd"/>
            <w:r w:rsidRPr="00651AB8">
              <w:t xml:space="preserve"> configured in SIB2. </w:t>
            </w:r>
          </w:p>
          <w:p w14:paraId="5FCB23DC" w14:textId="67AEE68B" w:rsidR="003D349D" w:rsidRDefault="003D349D" w:rsidP="002A26C4">
            <w:r w:rsidRPr="00651AB8">
              <w:rPr>
                <w:b/>
              </w:rPr>
              <w:t>[Proposed Change]</w:t>
            </w:r>
            <w:r w:rsidRPr="00651AB8">
              <w:t xml:space="preserve">: Allow </w:t>
            </w:r>
            <w:proofErr w:type="spellStart"/>
            <w:r w:rsidRPr="00651AB8">
              <w:t>smtc</w:t>
            </w:r>
            <w:proofErr w:type="spellEnd"/>
            <w:r w:rsidRPr="00651AB8">
              <w:t xml:space="preserve"> in SIB2 to associate with a reference location in RefLocList-r19.</w:t>
            </w:r>
          </w:p>
        </w:tc>
      </w:tr>
    </w:tbl>
    <w:p w14:paraId="2613F2F7" w14:textId="77777777" w:rsidR="002A26C4" w:rsidRDefault="002A26C4" w:rsidP="006D1F3C"/>
    <w:p w14:paraId="2F430EB5" w14:textId="4358A74C" w:rsidR="008E12FE" w:rsidRDefault="00651AB8" w:rsidP="006D1F3C">
      <w:r>
        <w:t>We</w:t>
      </w:r>
      <w:r w:rsidR="006D1F3C">
        <w:t xml:space="preserve"> note that </w:t>
      </w:r>
      <w:r w:rsidR="008E12FE">
        <w:t>SMTC</w:t>
      </w:r>
      <w:r w:rsidR="006D1F3C">
        <w:t xml:space="preserve"> is the primary measurement timing configuration. It is used by both DL-CE capable UEs, that have support for the refLocList-r19 and smtc5list, and by legacy UEs, which cannot read the refLocList-r19. According to the RAN2 design</w:t>
      </w:r>
      <w:r w:rsidR="008E12FE">
        <w:t xml:space="preserve"> in Rel-17</w:t>
      </w:r>
      <w:r w:rsidR="006D1F3C">
        <w:t xml:space="preserve">, the periodicity of </w:t>
      </w:r>
      <w:r w:rsidR="008E12FE">
        <w:t xml:space="preserve">all SMTCs in </w:t>
      </w:r>
      <w:r w:rsidR="006D1F3C">
        <w:t>smtc4</w:t>
      </w:r>
      <w:r w:rsidR="008E12FE">
        <w:t xml:space="preserve">list </w:t>
      </w:r>
      <w:r w:rsidR="006D1F3C">
        <w:t xml:space="preserve">is the same as the one defined in </w:t>
      </w:r>
      <w:r w:rsidR="008546C4">
        <w:t>smtc1</w:t>
      </w:r>
      <w:r w:rsidR="006D1F3C">
        <w:t xml:space="preserve">. A UE that is not capable of DL-CE, may use only the information in </w:t>
      </w:r>
      <w:r w:rsidR="008546C4">
        <w:t>smtc1</w:t>
      </w:r>
      <w:r w:rsidR="006D1F3C">
        <w:t xml:space="preserve"> and in smtc4list to measure the cells in a given frequency layer</w:t>
      </w:r>
      <w:r w:rsidR="008E12FE">
        <w:t xml:space="preserve">. </w:t>
      </w:r>
      <w:r w:rsidR="008546C4">
        <w:t xml:space="preserve">If the serving cell SMTC is defined in smtc5list, due to having a periodicity different than the one in smtc1, a legacy UE will be configured with the SMTC to be used in serving cell measurements. </w:t>
      </w:r>
      <w:r w:rsidR="008E12FE">
        <w:t>T</w:t>
      </w:r>
      <w:r w:rsidR="006D1F3C">
        <w:t xml:space="preserve">herefore, the periodicity defined in </w:t>
      </w:r>
      <w:r w:rsidR="008546C4">
        <w:t>smtc1</w:t>
      </w:r>
      <w:r w:rsidR="006D1F3C">
        <w:t xml:space="preserve"> should be the one used for the serving cell</w:t>
      </w:r>
      <w:r w:rsidR="008E12FE">
        <w:t xml:space="preserve"> measurements.</w:t>
      </w:r>
    </w:p>
    <w:p w14:paraId="400B98EF" w14:textId="3663F994" w:rsidR="00560BA8" w:rsidRDefault="00560BA8" w:rsidP="006D1F3C">
      <w:r w:rsidRPr="00871C1B">
        <w:rPr>
          <w:b/>
        </w:rPr>
        <w:t xml:space="preserve">Observation </w:t>
      </w:r>
      <w:r w:rsidR="007219CD">
        <w:rPr>
          <w:b/>
          <w:bCs/>
        </w:rPr>
        <w:t>1</w:t>
      </w:r>
      <w:r w:rsidRPr="00871C1B">
        <w:rPr>
          <w:b/>
        </w:rPr>
        <w:t>:</w:t>
      </w:r>
      <w:r>
        <w:t xml:space="preserve"> </w:t>
      </w:r>
      <w:r w:rsidR="006D0813">
        <w:t>Both a</w:t>
      </w:r>
      <w:r>
        <w:t xml:space="preserve"> legacy UE</w:t>
      </w:r>
      <w:r w:rsidR="006D0813">
        <w:t>, and a UE not supporting</w:t>
      </w:r>
      <w:r>
        <w:t xml:space="preserve"> </w:t>
      </w:r>
      <w:r w:rsidR="006D0813">
        <w:t xml:space="preserve">the </w:t>
      </w:r>
      <w:r w:rsidR="008546C4">
        <w:t>configuration of</w:t>
      </w:r>
      <w:r>
        <w:t xml:space="preserve"> smtc5 nor refLocList-r19, </w:t>
      </w:r>
      <w:r w:rsidR="008546C4">
        <w:t>relies</w:t>
      </w:r>
      <w:r>
        <w:t xml:space="preserve"> only on </w:t>
      </w:r>
      <w:r w:rsidR="00651AB8">
        <w:t>SMTC</w:t>
      </w:r>
      <w:r>
        <w:t xml:space="preserve"> and smtc4 for the measurement configuration.</w:t>
      </w:r>
      <w:r w:rsidR="008546C4">
        <w:t xml:space="preserve"> </w:t>
      </w:r>
    </w:p>
    <w:p w14:paraId="4B7FC284" w14:textId="56578596" w:rsidR="00651AB8" w:rsidRDefault="00651AB8" w:rsidP="006D1F3C">
      <w:r>
        <w:t xml:space="preserve">Considering the reasoning above, we do not agree with issue A200, and do not support the association of </w:t>
      </w:r>
      <w:proofErr w:type="spellStart"/>
      <w:r>
        <w:t>smtc</w:t>
      </w:r>
      <w:proofErr w:type="spellEnd"/>
      <w:r>
        <w:t xml:space="preserve"> with a position in the </w:t>
      </w:r>
      <w:r w:rsidRPr="00871C1B">
        <w:rPr>
          <w:i/>
        </w:rPr>
        <w:t>refLocList-r19</w:t>
      </w:r>
      <w:r>
        <w:t>.</w:t>
      </w:r>
      <w:r w:rsidR="00AE3663">
        <w:t xml:space="preserve"> The SMTC configuration should be the one used for the serving cell measurements.</w:t>
      </w:r>
    </w:p>
    <w:p w14:paraId="799A6500" w14:textId="346A7F27" w:rsidR="006D1F3C" w:rsidRDefault="006D1F3C" w:rsidP="006D1F3C">
      <w:r w:rsidRPr="00871C1B">
        <w:rPr>
          <w:b/>
        </w:rPr>
        <w:t xml:space="preserve">Proposal </w:t>
      </w:r>
      <w:r w:rsidR="00644056">
        <w:rPr>
          <w:b/>
          <w:bCs/>
        </w:rPr>
        <w:t>1</w:t>
      </w:r>
      <w:r w:rsidRPr="00871C1B">
        <w:rPr>
          <w:b/>
        </w:rPr>
        <w:t>:</w:t>
      </w:r>
      <w:r w:rsidR="00644056" w:rsidRPr="00871C1B">
        <w:rPr>
          <w:b/>
        </w:rPr>
        <w:t xml:space="preserve"> </w:t>
      </w:r>
      <w:r w:rsidR="00644056">
        <w:t>[A200]</w:t>
      </w:r>
      <w:r>
        <w:t xml:space="preserve"> To not support issue A200.</w:t>
      </w:r>
    </w:p>
    <w:p w14:paraId="6A5E5A51" w14:textId="28EF6ECD" w:rsidR="009A6F1B" w:rsidRDefault="009A6F1B" w:rsidP="001640C6">
      <w:pPr>
        <w:pStyle w:val="Heading2"/>
      </w:pPr>
      <w:r>
        <w:lastRenderedPageBreak/>
        <w:t>2.2</w:t>
      </w:r>
      <w:r w:rsidR="001640C6">
        <w:tab/>
      </w:r>
      <w:r w:rsidR="003B1481">
        <w:t xml:space="preserve">[H251] </w:t>
      </w:r>
      <w:r w:rsidR="0047710B">
        <w:t xml:space="preserve">Neighbour cell propagation delay </w:t>
      </w:r>
      <w:r w:rsidR="003B1481">
        <w:t>for SMTC5</w:t>
      </w:r>
    </w:p>
    <w:p w14:paraId="7E866ACD" w14:textId="02A0E814" w:rsidR="003B1481" w:rsidRDefault="003B1481" w:rsidP="003B1481">
      <w:r>
        <w:t>Another open issue, also considering SIB2, is whether the field description should be modified</w:t>
      </w:r>
      <w:r w:rsidR="008D0FFC">
        <w:t xml:space="preserve"> to ensure that UE does not need to consider neighbour cell propagation delay when smtc5list is configured.</w:t>
      </w:r>
    </w:p>
    <w:p w14:paraId="7FE801CA" w14:textId="6D129003" w:rsidR="00AE3663" w:rsidRDefault="00AE3663" w:rsidP="003B1481">
      <w:r>
        <w:t>The original description and proposed changes are: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B570A9" w14:paraId="3DDB6AB7" w14:textId="77777777" w:rsidTr="00871C1B">
        <w:tc>
          <w:tcPr>
            <w:tcW w:w="9631" w:type="dxa"/>
          </w:tcPr>
          <w:p w14:paraId="01E83B2B" w14:textId="4D21CD5F" w:rsidR="00AE3663" w:rsidRDefault="00AE3663" w:rsidP="00B570A9">
            <w:pPr>
              <w:pStyle w:val="TAL"/>
            </w:pPr>
            <w:r w:rsidRPr="00AE3663">
              <w:t xml:space="preserve">[Description]: It was agreed to have 7 SMTCs altogether on a single frequency. Serving cell does not require a reference location, and in this case the legacy </w:t>
            </w:r>
            <w:proofErr w:type="spellStart"/>
            <w:r w:rsidRPr="00AE3663">
              <w:t>smtc</w:t>
            </w:r>
            <w:proofErr w:type="spellEnd"/>
            <w:r w:rsidRPr="00AE3663">
              <w:t xml:space="preserve"> is used for the serving cell measurement. However, this understanding is a bit different from legacy releases because </w:t>
            </w:r>
            <w:proofErr w:type="spellStart"/>
            <w:r w:rsidRPr="00AE3663">
              <w:t>smtc</w:t>
            </w:r>
            <w:proofErr w:type="spellEnd"/>
            <w:r w:rsidRPr="00AE3663">
              <w:t xml:space="preserve"> is now changed to a cell-specific SMTC rather than a frequency-specific SMTC. Also, the field description of </w:t>
            </w:r>
            <w:proofErr w:type="spellStart"/>
            <w:r w:rsidRPr="00AE3663">
              <w:t>smtc</w:t>
            </w:r>
            <w:proofErr w:type="spellEnd"/>
            <w:r w:rsidRPr="00AE3663">
              <w:t xml:space="preserve"> related to SMTC adjustment based on PDD needs to </w:t>
            </w:r>
            <w:proofErr w:type="gramStart"/>
            <w:r w:rsidRPr="00AE3663">
              <w:t>revised</w:t>
            </w:r>
            <w:proofErr w:type="gramEnd"/>
            <w:r w:rsidRPr="00AE3663">
              <w:t xml:space="preserve"> so that UE does not need to consider neighbour cell propagation delay.</w:t>
            </w:r>
          </w:p>
          <w:p w14:paraId="3EE62C32" w14:textId="77777777" w:rsidR="00AE3663" w:rsidRDefault="00AE3663" w:rsidP="00B570A9">
            <w:pPr>
              <w:pStyle w:val="TAL"/>
              <w:rPr>
                <w:b/>
                <w:bCs/>
                <w:i/>
                <w:iCs/>
                <w:lang w:eastAsia="sv-SE"/>
              </w:rPr>
            </w:pPr>
          </w:p>
          <w:p w14:paraId="3E87C05D" w14:textId="57E8328D" w:rsidR="00B570A9" w:rsidRDefault="00B570A9" w:rsidP="00B570A9">
            <w:pPr>
              <w:pStyle w:val="TAL"/>
              <w:rPr>
                <w:b/>
                <w:bCs/>
                <w:i/>
                <w:iCs/>
                <w:lang w:eastAsia="sv-SE"/>
              </w:rPr>
            </w:pPr>
            <w:proofErr w:type="spellStart"/>
            <w:r>
              <w:rPr>
                <w:b/>
                <w:bCs/>
                <w:i/>
                <w:iCs/>
                <w:lang w:eastAsia="sv-SE"/>
              </w:rPr>
              <w:t>smtc</w:t>
            </w:r>
            <w:proofErr w:type="spellEnd"/>
          </w:p>
          <w:p w14:paraId="6206E711" w14:textId="78EB7697" w:rsidR="00B570A9" w:rsidRDefault="00B570A9" w:rsidP="00B570A9">
            <w:r>
              <w:rPr>
                <w:szCs w:val="22"/>
                <w:lang w:eastAsia="sv-SE"/>
              </w:rPr>
              <w:t xml:space="preserve">Measurement timing configuration for intra-frequency measurement. If this field is absent, the UE assumes that SSB periodicity is 5 ms for the intra-frequency cells. If the field is broadcast by an NTN cell and </w:t>
            </w:r>
            <w:r>
              <w:rPr>
                <w:i/>
                <w:iCs/>
              </w:rPr>
              <w:t>smtc5list</w:t>
            </w:r>
            <w:r>
              <w:t xml:space="preserve"> is not configured</w:t>
            </w:r>
            <w:r>
              <w:rPr>
                <w:szCs w:val="22"/>
                <w:lang w:eastAsia="sv-SE"/>
              </w:rPr>
              <w:t xml:space="preserve">, the </w:t>
            </w:r>
            <w:r>
              <w:rPr>
                <w:i/>
                <w:iCs/>
                <w:szCs w:val="22"/>
                <w:lang w:eastAsia="sv-SE"/>
              </w:rPr>
              <w:t>offset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is based on the assumption that the gNB-UE propagation delay difference between the serving cell and neighbour cells equals to 0 ms, and UE can adjust the actual </w:t>
            </w:r>
            <w:r>
              <w:rPr>
                <w:i/>
                <w:iCs/>
                <w:szCs w:val="22"/>
                <w:lang w:eastAsia="sv-SE"/>
              </w:rPr>
              <w:t>offset</w:t>
            </w:r>
            <w:r>
              <w:rPr>
                <w:szCs w:val="22"/>
                <w:lang w:eastAsia="sv-SE"/>
              </w:rPr>
              <w:t xml:space="preserve"> based on the actual propagation delay difference. If the field is broadcast by an NTN cell and </w:t>
            </w:r>
            <w:r>
              <w:rPr>
                <w:i/>
                <w:iCs/>
              </w:rPr>
              <w:t>smtc5list</w:t>
            </w:r>
            <w:r>
              <w:t xml:space="preserve"> is configured</w:t>
            </w:r>
            <w:r>
              <w:rPr>
                <w:szCs w:val="22"/>
                <w:lang w:eastAsia="sv-SE"/>
              </w:rPr>
              <w:t xml:space="preserve">, </w:t>
            </w:r>
            <w:proofErr w:type="spellStart"/>
            <w:r>
              <w:rPr>
                <w:i/>
                <w:iCs/>
              </w:rPr>
              <w:t>smtc</w:t>
            </w:r>
            <w:proofErr w:type="spellEnd"/>
            <w:r>
              <w:rPr>
                <w:i/>
                <w:iCs/>
              </w:rPr>
              <w:t xml:space="preserve"> </w:t>
            </w:r>
            <w:r>
              <w:t>is for serving cell measurements</w:t>
            </w:r>
            <w:r>
              <w:rPr>
                <w:szCs w:val="22"/>
                <w:lang w:eastAsia="sv-SE"/>
              </w:rPr>
              <w:t xml:space="preserve"> and the </w:t>
            </w:r>
            <w:r>
              <w:rPr>
                <w:i/>
                <w:iCs/>
                <w:szCs w:val="22"/>
                <w:lang w:eastAsia="sv-SE"/>
              </w:rPr>
              <w:t>offset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is based on the assumption that the gNB-UE propagation delay difference equals to 0 ms.</w:t>
            </w:r>
          </w:p>
        </w:tc>
      </w:tr>
    </w:tbl>
    <w:p w14:paraId="3A795F15" w14:textId="77777777" w:rsidR="008D0FFC" w:rsidRDefault="008D0FFC" w:rsidP="003B1481"/>
    <w:p w14:paraId="09643F4F" w14:textId="30FB19AF" w:rsidR="00AE3663" w:rsidRDefault="00AE3663" w:rsidP="003B1481">
      <w:r>
        <w:t xml:space="preserve">In this issue, we agree with the comment of the rapporteur. </w:t>
      </w:r>
      <w:r w:rsidR="00B7054D">
        <w:t xml:space="preserve">In our view, the </w:t>
      </w:r>
      <w:r w:rsidR="00FD192A">
        <w:t xml:space="preserve">cells that are measured with </w:t>
      </w:r>
      <w:proofErr w:type="spellStart"/>
      <w:r w:rsidR="00FD192A">
        <w:t>smtc</w:t>
      </w:r>
      <w:proofErr w:type="spellEnd"/>
      <w:r w:rsidR="00FD192A">
        <w:t xml:space="preserve"> are those that have the same propagation delay </w:t>
      </w:r>
      <w:r w:rsidR="00DC6C55">
        <w:t xml:space="preserve">and periodicity </w:t>
      </w:r>
      <w:r w:rsidR="00FD192A">
        <w:t>as the serving cell.</w:t>
      </w:r>
      <w:r w:rsidR="00607198">
        <w:t xml:space="preserve"> </w:t>
      </w:r>
      <w:proofErr w:type="gramStart"/>
      <w:r w:rsidR="00607198">
        <w:t>So</w:t>
      </w:r>
      <w:proofErr w:type="gramEnd"/>
      <w:r w:rsidR="00607198">
        <w:t xml:space="preserve"> </w:t>
      </w:r>
      <w:r w:rsidR="00887E74">
        <w:t xml:space="preserve">some </w:t>
      </w:r>
      <w:r w:rsidR="000C3F4D">
        <w:t>neighbour</w:t>
      </w:r>
      <w:r w:rsidR="006F531A">
        <w:t xml:space="preserve"> cell may be measured with the same </w:t>
      </w:r>
      <w:proofErr w:type="spellStart"/>
      <w:r w:rsidR="006F531A">
        <w:t>smtc</w:t>
      </w:r>
      <w:proofErr w:type="spellEnd"/>
      <w:r w:rsidR="006F531A">
        <w:t xml:space="preserve"> as the serving cell.</w:t>
      </w:r>
      <w:r w:rsidR="00FD192A">
        <w:t xml:space="preserve"> The text in the specification applies for </w:t>
      </w:r>
      <w:r w:rsidR="006F531A">
        <w:t xml:space="preserve">both </w:t>
      </w:r>
      <w:r w:rsidR="000A6FCE">
        <w:t>cases</w:t>
      </w:r>
      <w:r w:rsidR="006F531A">
        <w:t xml:space="preserve">, when </w:t>
      </w:r>
      <w:r w:rsidR="000A6FCE">
        <w:t>smtc5list is configured or not configured, and the change is not needed.</w:t>
      </w:r>
    </w:p>
    <w:p w14:paraId="25815D3E" w14:textId="00341FB2" w:rsidR="000A6FCE" w:rsidRDefault="000A6FCE" w:rsidP="000A6FCE">
      <w:r w:rsidRPr="00871C1B">
        <w:rPr>
          <w:b/>
        </w:rPr>
        <w:t xml:space="preserve">Proposal </w:t>
      </w:r>
      <w:r w:rsidR="00CB4C6D">
        <w:rPr>
          <w:b/>
          <w:bCs/>
        </w:rPr>
        <w:t>2</w:t>
      </w:r>
      <w:r w:rsidRPr="00871C1B">
        <w:rPr>
          <w:b/>
        </w:rPr>
        <w:t>:</w:t>
      </w:r>
      <w:r>
        <w:t xml:space="preserve"> To not support issue H251.</w:t>
      </w:r>
    </w:p>
    <w:p w14:paraId="7CC626E7" w14:textId="694DF0AC" w:rsidR="001E32B8" w:rsidRDefault="00B95BA1" w:rsidP="00684DCB">
      <w:pPr>
        <w:pStyle w:val="Heading2"/>
      </w:pPr>
      <w:r>
        <w:t>2.3</w:t>
      </w:r>
      <w:r>
        <w:tab/>
      </w:r>
      <w:r w:rsidR="00684DCB">
        <w:t xml:space="preserve">Prohibit timer of </w:t>
      </w:r>
      <w:proofErr w:type="spellStart"/>
      <w:r w:rsidR="00684DCB">
        <w:t>UEAssistanceInformation</w:t>
      </w:r>
      <w:proofErr w:type="spellEnd"/>
      <w:r w:rsidR="00684DCB">
        <w:t xml:space="preserve"> for reporting closest reference locations</w:t>
      </w:r>
    </w:p>
    <w:p w14:paraId="066D74E0" w14:textId="19A2BCFE" w:rsidR="00825249" w:rsidRDefault="0035793C" w:rsidP="00825249">
      <w:r>
        <w:t xml:space="preserve">One </w:t>
      </w:r>
      <w:hyperlink r:id="rId14" w:history="1">
        <w:r w:rsidRPr="0008414A">
          <w:rPr>
            <w:rStyle w:val="Hyperlink"/>
          </w:rPr>
          <w:t>postponed issue</w:t>
        </w:r>
      </w:hyperlink>
      <w:r>
        <w:t xml:space="preserve"> </w:t>
      </w:r>
      <w:r w:rsidR="0008414A">
        <w:t xml:space="preserve">raised in RAN2#131bis was to </w:t>
      </w:r>
      <w:r w:rsidR="00D144AF">
        <w:t>introduce a prohibit timer to the UE assistance information</w:t>
      </w:r>
      <w:r w:rsidR="004D78E9">
        <w:t xml:space="preserve"> report </w:t>
      </w:r>
      <w:r w:rsidR="00717BF5">
        <w:t>for closest reference locations in order to avoid extensive reporting.</w:t>
      </w:r>
      <w:r w:rsidR="00F25A0C">
        <w:t xml:space="preserve"> Although the issue is </w:t>
      </w:r>
      <w:r w:rsidR="00600DBB">
        <w:t>relevant, as th</w:t>
      </w:r>
      <w:r w:rsidR="00BD7761">
        <w:t xml:space="preserve">e implementation of the Rel-19 defines a procedure to transmit an updated report </w:t>
      </w:r>
      <w:r w:rsidR="00BD7761">
        <w:rPr>
          <w:u w:val="single"/>
        </w:rPr>
        <w:t>if the UE determines the location changes</w:t>
      </w:r>
      <w:r w:rsidR="00BD7761">
        <w:t xml:space="preserve">. However, we do believe that the </w:t>
      </w:r>
      <w:r w:rsidR="0055583B">
        <w:t xml:space="preserve">UE does not obtain </w:t>
      </w:r>
      <w:proofErr w:type="spellStart"/>
      <w:proofErr w:type="gramStart"/>
      <w:r w:rsidR="0055583B">
        <w:t>it’s</w:t>
      </w:r>
      <w:proofErr w:type="spellEnd"/>
      <w:proofErr w:type="gramEnd"/>
      <w:r w:rsidR="0055583B">
        <w:t xml:space="preserve"> location without </w:t>
      </w:r>
      <w:r w:rsidR="00301BAD">
        <w:t xml:space="preserve">need, and thus it may be that the </w:t>
      </w:r>
      <w:r w:rsidR="00CB4C6D">
        <w:t>ping-pong may not happen.</w:t>
      </w:r>
    </w:p>
    <w:p w14:paraId="0E0B149B" w14:textId="2B1FD395" w:rsidR="00CB4C6D" w:rsidRDefault="00CB4C6D" w:rsidP="00825249">
      <w:r w:rsidRPr="00871C1B">
        <w:rPr>
          <w:b/>
        </w:rPr>
        <w:t xml:space="preserve">Observation </w:t>
      </w:r>
      <w:r w:rsidR="00293D92" w:rsidRPr="00871C1B">
        <w:rPr>
          <w:b/>
        </w:rPr>
        <w:t>2</w:t>
      </w:r>
      <w:r w:rsidRPr="00871C1B">
        <w:rPr>
          <w:b/>
        </w:rPr>
        <w:t>:</w:t>
      </w:r>
      <w:r>
        <w:t xml:space="preserve"> </w:t>
      </w:r>
      <w:r w:rsidR="00293D92">
        <w:t xml:space="preserve">A UE </w:t>
      </w:r>
      <w:r w:rsidR="006978A1">
        <w:t xml:space="preserve">should </w:t>
      </w:r>
      <w:r w:rsidR="00293D92">
        <w:t xml:space="preserve">only </w:t>
      </w:r>
      <w:r w:rsidR="006978A1">
        <w:t xml:space="preserve">obtain a new location from GNSS if needed i.e. to update timing advance etc. thus ping-pong </w:t>
      </w:r>
      <w:r w:rsidR="00747AD3">
        <w:t>report of closest reference locations may not be an issue.</w:t>
      </w:r>
    </w:p>
    <w:p w14:paraId="66D4C5FD" w14:textId="6A402633" w:rsidR="00747AD3" w:rsidRPr="00747AD3" w:rsidRDefault="00747AD3" w:rsidP="00825249">
      <w:r w:rsidRPr="00871C1B">
        <w:rPr>
          <w:b/>
        </w:rPr>
        <w:t xml:space="preserve">Proposal 3: </w:t>
      </w:r>
      <w:r w:rsidR="00236CA7">
        <w:t>A</w:t>
      </w:r>
      <w:r>
        <w:t xml:space="preserve"> </w:t>
      </w:r>
      <w:r w:rsidR="000C1BF2">
        <w:t>prohibit timer for UE assistance information for reporting reference location report</w:t>
      </w:r>
      <w:r w:rsidR="00236CA7">
        <w:t xml:space="preserve"> is not needed</w:t>
      </w:r>
      <w:r w:rsidR="000C1BF2">
        <w:t>.</w:t>
      </w:r>
    </w:p>
    <w:p w14:paraId="4ABEBE4F" w14:textId="22E4AF18" w:rsidR="00666F58" w:rsidRPr="00DF1698" w:rsidRDefault="2D628600" w:rsidP="1C86D153">
      <w:pPr>
        <w:pStyle w:val="Heading2"/>
      </w:pPr>
      <w:r>
        <w:t>2.</w:t>
      </w:r>
      <w:r w:rsidR="00236CA7">
        <w:t>4</w:t>
      </w:r>
      <w:r w:rsidR="142DE97C">
        <w:t xml:space="preserve"> </w:t>
      </w:r>
      <w:r>
        <w:tab/>
      </w:r>
      <w:r w:rsidR="142DE97C">
        <w:t>Inter-frequency measurement</w:t>
      </w:r>
      <w:r w:rsidR="68E84002">
        <w:t xml:space="preserve">s </w:t>
      </w:r>
    </w:p>
    <w:p w14:paraId="0CB40C2D" w14:textId="7067FFF0" w:rsidR="142DE97C" w:rsidRDefault="142DE97C" w:rsidP="00871C1B">
      <w:r>
        <w:t>In the past RAN2 meeting, it has been agreed that</w:t>
      </w:r>
      <w:r w:rsidR="659BF03A">
        <w:t xml:space="preserve"> the </w:t>
      </w:r>
      <w:r w:rsidR="61DC0D08">
        <w:t>closest reference location information can be used to assist the SMTC and measurement gap configuration.</w:t>
      </w:r>
    </w:p>
    <w:tbl>
      <w:tblPr>
        <w:tblStyle w:val="TableGrid"/>
        <w:tblW w:w="0" w:type="auto"/>
        <w:tblLayout w:type="fixed"/>
        <w:tblLook w:val="06A0" w:firstRow="1" w:lastRow="0" w:firstColumn="1" w:lastColumn="0" w:noHBand="1" w:noVBand="1"/>
      </w:tblPr>
      <w:tblGrid>
        <w:gridCol w:w="9630"/>
      </w:tblGrid>
      <w:tr w:rsidR="3731498B" w14:paraId="36F5EBAB" w14:textId="77777777" w:rsidTr="3731498B">
        <w:trPr>
          <w:trHeight w:val="300"/>
        </w:trPr>
        <w:tc>
          <w:tcPr>
            <w:tcW w:w="9630" w:type="dxa"/>
          </w:tcPr>
          <w:p w14:paraId="25334435" w14:textId="35F0199C" w:rsidR="61DC0D08" w:rsidRPr="00871C1B" w:rsidRDefault="61DC0D08" w:rsidP="00871C1B">
            <w:pPr>
              <w:pBdr>
                <w:top w:val="single" w:sz="8" w:space="1" w:color="000000"/>
                <w:left w:val="single" w:sz="8" w:space="4" w:color="000000"/>
                <w:bottom w:val="single" w:sz="8" w:space="1" w:color="000000"/>
                <w:right w:val="single" w:sz="8" w:space="4" w:color="000000"/>
              </w:pBdr>
              <w:spacing w:after="0" w:line="259" w:lineRule="auto"/>
              <w:ind w:left="363" w:hanging="363"/>
              <w:rPr>
                <w:rFonts w:ascii="Arial" w:eastAsia="Arial" w:hAnsi="Arial" w:cs="Arial"/>
                <w:sz w:val="18"/>
                <w:szCs w:val="18"/>
              </w:rPr>
            </w:pPr>
            <w:r w:rsidRPr="00871C1B">
              <w:rPr>
                <w:rFonts w:ascii="Arial" w:eastAsia="Arial" w:hAnsi="Arial" w:cs="Arial"/>
                <w:sz w:val="18"/>
                <w:szCs w:val="18"/>
              </w:rPr>
              <w:t>[H250]: Use “closest reference location information” to replace “location information” in the UAI reporting procedures, and clarify that this this information is for “assisted SMTC and measurement gap configuration” (can come back to this after the discussion on inter-frequency support)</w:t>
            </w:r>
          </w:p>
          <w:p w14:paraId="14ACE91C" w14:textId="7A89811B" w:rsidR="3731498B" w:rsidRPr="00871C1B" w:rsidRDefault="3731498B" w:rsidP="3731498B">
            <w:pPr>
              <w:pBdr>
                <w:top w:val="single" w:sz="8" w:space="1" w:color="000000"/>
                <w:left w:val="single" w:sz="8" w:space="4" w:color="000000"/>
                <w:bottom w:val="single" w:sz="8" w:space="1" w:color="000000"/>
                <w:right w:val="single" w:sz="8" w:space="4" w:color="000000"/>
              </w:pBdr>
              <w:spacing w:after="0" w:line="259" w:lineRule="auto"/>
              <w:ind w:left="363" w:hanging="363"/>
              <w:rPr>
                <w:rFonts w:ascii="Arial" w:eastAsia="Arial" w:hAnsi="Arial" w:cs="Arial"/>
                <w:sz w:val="18"/>
                <w:szCs w:val="18"/>
              </w:rPr>
            </w:pPr>
          </w:p>
          <w:p w14:paraId="36920733" w14:textId="6C61ECC0" w:rsidR="65196EB1" w:rsidRPr="00871C1B" w:rsidRDefault="65196EB1" w:rsidP="00871C1B">
            <w:pPr>
              <w:pBdr>
                <w:top w:val="single" w:sz="8" w:space="1" w:color="000000"/>
                <w:left w:val="single" w:sz="8" w:space="4" w:color="000000"/>
                <w:bottom w:val="single" w:sz="8" w:space="1" w:color="000000"/>
                <w:right w:val="single" w:sz="8" w:space="4" w:color="000000"/>
              </w:pBdr>
              <w:spacing w:after="0" w:line="259" w:lineRule="auto"/>
              <w:rPr>
                <w:rFonts w:ascii="Arial" w:eastAsia="Arial" w:hAnsi="Arial" w:cs="Arial"/>
                <w:sz w:val="18"/>
                <w:szCs w:val="18"/>
              </w:rPr>
            </w:pPr>
            <w:r w:rsidRPr="00871C1B">
              <w:rPr>
                <w:rFonts w:ascii="Arial" w:eastAsia="Arial" w:hAnsi="Arial" w:cs="Arial"/>
                <w:sz w:val="18"/>
                <w:szCs w:val="18"/>
              </w:rPr>
              <w:t xml:space="preserve">We extend the Rel-19 SMTC enhancements to inter-frequency, using as a baseline the Rel-19 agreed solutions for intra-frequency (for both location-based SMTC selection in RRC_IDLE/INACTIVE state and UE-assisted SMTC configuration in RRC_CONNECTED state). If modifications for inter-frequency are needed, Scenarios 1, 2, 3 (adjacent and overlaid inter-frequency </w:t>
            </w:r>
            <w:proofErr w:type="spellStart"/>
            <w:r w:rsidRPr="00871C1B">
              <w:rPr>
                <w:rFonts w:ascii="Arial" w:eastAsia="Arial" w:hAnsi="Arial" w:cs="Arial"/>
                <w:sz w:val="18"/>
                <w:szCs w:val="18"/>
              </w:rPr>
              <w:t>neighbor</w:t>
            </w:r>
            <w:proofErr w:type="spellEnd"/>
            <w:r w:rsidRPr="00871C1B">
              <w:rPr>
                <w:rFonts w:ascii="Arial" w:eastAsia="Arial" w:hAnsi="Arial" w:cs="Arial"/>
                <w:sz w:val="18"/>
                <w:szCs w:val="18"/>
              </w:rPr>
              <w:t xml:space="preserve"> cells of similar size) are prioritized.</w:t>
            </w:r>
          </w:p>
          <w:p w14:paraId="4D3F478B" w14:textId="44E301E2" w:rsidR="65196EB1" w:rsidRPr="00871C1B" w:rsidRDefault="65196EB1" w:rsidP="3731498B">
            <w:pPr>
              <w:pBdr>
                <w:top w:val="single" w:sz="8" w:space="1" w:color="000000"/>
                <w:left w:val="single" w:sz="8" w:space="4" w:color="000000"/>
                <w:bottom w:val="single" w:sz="8" w:space="1" w:color="000000"/>
                <w:right w:val="single" w:sz="8" w:space="4" w:color="000000"/>
              </w:pBdr>
              <w:spacing w:after="0" w:line="259" w:lineRule="auto"/>
              <w:rPr>
                <w:sz w:val="18"/>
                <w:szCs w:val="18"/>
              </w:rPr>
            </w:pPr>
            <w:r w:rsidRPr="00871C1B">
              <w:rPr>
                <w:rFonts w:ascii="Arial" w:eastAsia="Arial" w:hAnsi="Arial" w:cs="Arial"/>
                <w:sz w:val="18"/>
                <w:szCs w:val="18"/>
              </w:rPr>
              <w:t>We introduce a new (per-UE) capability with signalling for the support in RRC connected of 2 periodicities in the inter-frequency case</w:t>
            </w:r>
          </w:p>
          <w:p w14:paraId="73F637D2" w14:textId="4A29DBE2" w:rsidR="3731498B" w:rsidRDefault="3731498B" w:rsidP="3731498B">
            <w:pPr>
              <w:pBdr>
                <w:top w:val="single" w:sz="8" w:space="1" w:color="000000"/>
                <w:left w:val="single" w:sz="8" w:space="4" w:color="000000"/>
                <w:bottom w:val="single" w:sz="8" w:space="1" w:color="000000"/>
                <w:right w:val="single" w:sz="8" w:space="4" w:color="000000"/>
              </w:pBdr>
              <w:spacing w:after="0" w:line="259" w:lineRule="auto"/>
              <w:rPr>
                <w:rFonts w:ascii="Arial" w:eastAsia="Arial" w:hAnsi="Arial" w:cs="Arial"/>
              </w:rPr>
            </w:pPr>
          </w:p>
        </w:tc>
      </w:tr>
    </w:tbl>
    <w:p w14:paraId="70EF9BF0" w14:textId="6CFA7A06" w:rsidR="3731498B" w:rsidRDefault="3731498B" w:rsidP="3731498B"/>
    <w:p w14:paraId="6A2EB084" w14:textId="26AC69CD" w:rsidR="004B28F2" w:rsidRDefault="004B28F2" w:rsidP="3731498B">
      <w:r>
        <w:lastRenderedPageBreak/>
        <w:t>From the discussion in the previous RAN2 meeting</w:t>
      </w:r>
      <w:r w:rsidR="00460B7E">
        <w:t xml:space="preserve"> </w:t>
      </w:r>
      <w:hyperlink r:id="rId15" w:history="1">
        <w:r w:rsidR="00460B7E" w:rsidRPr="004C21BF">
          <w:rPr>
            <w:rStyle w:val="Hyperlink"/>
            <w:b/>
            <w:bCs/>
            <w:lang w:val="en-US"/>
          </w:rPr>
          <w:t>R2-2507763</w:t>
        </w:r>
      </w:hyperlink>
      <w:r>
        <w:t xml:space="preserve">, the following scenarios were listed: </w:t>
      </w:r>
    </w:p>
    <w:p w14:paraId="73700530" w14:textId="1726B098" w:rsidR="00DC4D39" w:rsidRDefault="00DC4D39" w:rsidP="00DC4D39">
      <w:pPr>
        <w:pStyle w:val="ListParagraph"/>
        <w:numPr>
          <w:ilvl w:val="0"/>
          <w:numId w:val="20"/>
        </w:numPr>
      </w:pPr>
      <w:r>
        <w:t xml:space="preserve">Scenario 1: the adjacent cells in the inter-frequency layers are non-overlapping with the cells in the intra-frequency layer. </w:t>
      </w:r>
    </w:p>
    <w:p w14:paraId="05691AFD" w14:textId="0F193846" w:rsidR="00DC4D39" w:rsidRDefault="00DC4D39" w:rsidP="00DC4D39">
      <w:pPr>
        <w:pStyle w:val="ListParagraph"/>
        <w:numPr>
          <w:ilvl w:val="0"/>
          <w:numId w:val="20"/>
        </w:numPr>
      </w:pPr>
      <w:r>
        <w:t>Scenario 2: the adjacent cells in the inter-frequency layers overlapping</w:t>
      </w:r>
      <w:r w:rsidR="00460B7E">
        <w:t xml:space="preserve"> (with no spatial offset)</w:t>
      </w:r>
      <w:r>
        <w:t xml:space="preserve"> with the cells in the intra-frequency layer.</w:t>
      </w:r>
    </w:p>
    <w:p w14:paraId="5939662A" w14:textId="2FFE4085" w:rsidR="00460B7E" w:rsidRDefault="00460B7E" w:rsidP="00460B7E">
      <w:pPr>
        <w:pStyle w:val="ListParagraph"/>
        <w:numPr>
          <w:ilvl w:val="0"/>
          <w:numId w:val="20"/>
        </w:numPr>
      </w:pPr>
      <w:r>
        <w:t xml:space="preserve">Scenario 3: the adjacent cells in the inter-frequency layers overlapping (with </w:t>
      </w:r>
      <w:r w:rsidR="008451B9">
        <w:t>a</w:t>
      </w:r>
      <w:r>
        <w:t xml:space="preserve"> spatial offset) with the cells in the intra-frequency layer.</w:t>
      </w:r>
    </w:p>
    <w:p w14:paraId="120C66A8" w14:textId="34A7A2B9" w:rsidR="00460B7E" w:rsidRDefault="008451B9" w:rsidP="00DC4D39">
      <w:pPr>
        <w:pStyle w:val="ListParagraph"/>
        <w:numPr>
          <w:ilvl w:val="0"/>
          <w:numId w:val="20"/>
        </w:numPr>
      </w:pPr>
      <w:r>
        <w:t xml:space="preserve">Scenario 4: </w:t>
      </w:r>
      <w:r w:rsidR="007B103F">
        <w:t xml:space="preserve">the adjacent cells in the inter-frequency </w:t>
      </w:r>
      <w:r w:rsidR="00D33687">
        <w:t xml:space="preserve">are smaller than the cells in the intra-frequency </w:t>
      </w:r>
      <w:proofErr w:type="gramStart"/>
      <w:r w:rsidR="00D33687">
        <w:t>layer, and</w:t>
      </w:r>
      <w:proofErr w:type="gramEnd"/>
      <w:r w:rsidR="00D33687">
        <w:t xml:space="preserve"> </w:t>
      </w:r>
      <w:r w:rsidR="007B103F">
        <w:t xml:space="preserve">overlap with </w:t>
      </w:r>
      <w:r w:rsidR="002665C7">
        <w:t xml:space="preserve">the </w:t>
      </w:r>
      <w:r w:rsidR="00D33687">
        <w:t>cells in the intra-frequency layer.</w:t>
      </w:r>
      <w:r w:rsidR="002665C7">
        <w:t xml:space="preserve"> </w:t>
      </w:r>
    </w:p>
    <w:p w14:paraId="78145120" w14:textId="3A1DF6B9" w:rsidR="00D33687" w:rsidRDefault="00E2223C" w:rsidP="00D33687">
      <w:r w:rsidRPr="00871C1B">
        <w:rPr>
          <w:b/>
        </w:rPr>
        <w:t xml:space="preserve">Observation </w:t>
      </w:r>
      <w:r w:rsidR="0074468D">
        <w:rPr>
          <w:b/>
          <w:bCs/>
        </w:rPr>
        <w:t>3</w:t>
      </w:r>
      <w:r w:rsidRPr="00871C1B">
        <w:rPr>
          <w:b/>
        </w:rPr>
        <w:t>:</w:t>
      </w:r>
      <w:r>
        <w:t xml:space="preserve"> </w:t>
      </w:r>
      <w:r w:rsidR="00551BCF">
        <w:t xml:space="preserve">RAN2 solution for the SMTC selection </w:t>
      </w:r>
      <w:r w:rsidR="003830A8">
        <w:t xml:space="preserve">for inter-frequency measurements should consider the different scenarios </w:t>
      </w:r>
      <w:r w:rsidR="00C9143E">
        <w:t>regarding the overlap of the cells in the inter-frequency layers with the cells in the intra-frequency layer</w:t>
      </w:r>
      <w:r w:rsidR="6BB150F7">
        <w:t>, prioritizing scenarios 1 to 3</w:t>
      </w:r>
      <w:r w:rsidR="00C9143E">
        <w:t>.</w:t>
      </w:r>
      <w:r>
        <w:t xml:space="preserve"> </w:t>
      </w:r>
    </w:p>
    <w:p w14:paraId="3084A1EE" w14:textId="54001BFF" w:rsidR="00D33687" w:rsidRPr="00DF1698" w:rsidRDefault="00D33687" w:rsidP="00D33687">
      <w:pPr>
        <w:rPr>
          <w:lang w:val="en-US"/>
        </w:rPr>
      </w:pPr>
      <w:r w:rsidRPr="6A337C21">
        <w:rPr>
          <w:lang w:val="en-US"/>
        </w:rPr>
        <w:t xml:space="preserve"> Consider the example below</w:t>
      </w:r>
      <w:r w:rsidR="002259B3">
        <w:rPr>
          <w:lang w:val="en-US"/>
        </w:rPr>
        <w:t xml:space="preserve"> in </w:t>
      </w:r>
      <w:r w:rsidR="002259B3">
        <w:rPr>
          <w:lang w:val="en-US"/>
        </w:rPr>
        <w:fldChar w:fldCharType="begin"/>
      </w:r>
      <w:r w:rsidR="002259B3">
        <w:rPr>
          <w:lang w:val="en-US"/>
        </w:rPr>
        <w:instrText xml:space="preserve"> REF _Ref213074417 \h </w:instrText>
      </w:r>
      <w:r w:rsidR="002259B3">
        <w:rPr>
          <w:lang w:val="en-US"/>
        </w:rPr>
      </w:r>
      <w:r w:rsidR="002259B3">
        <w:rPr>
          <w:lang w:val="en-US"/>
        </w:rPr>
        <w:fldChar w:fldCharType="separate"/>
      </w:r>
      <w:r w:rsidR="002259B3">
        <w:t xml:space="preserve">Figure </w:t>
      </w:r>
      <w:r w:rsidR="002259B3">
        <w:rPr>
          <w:noProof/>
        </w:rPr>
        <w:t>1</w:t>
      </w:r>
      <w:r w:rsidR="002259B3">
        <w:rPr>
          <w:lang w:val="en-US"/>
        </w:rPr>
        <w:fldChar w:fldCharType="end"/>
      </w:r>
      <w:r w:rsidRPr="6A337C21">
        <w:rPr>
          <w:lang w:val="en-US"/>
        </w:rPr>
        <w:t xml:space="preserve">, in which two </w:t>
      </w:r>
      <w:r w:rsidR="00AB1EB3">
        <w:rPr>
          <w:lang w:val="en-US"/>
        </w:rPr>
        <w:t xml:space="preserve">UEs </w:t>
      </w:r>
      <w:r w:rsidR="000079C2">
        <w:rPr>
          <w:lang w:val="en-US"/>
        </w:rPr>
        <w:t>would provide the same reference location report in the inter-frequency layer</w:t>
      </w:r>
      <w:r w:rsidR="7F3D44CC" w:rsidRPr="6A337C21">
        <w:rPr>
          <w:lang w:val="en-US"/>
        </w:rPr>
        <w:t xml:space="preserve">, but are closer to different neighbor cells. </w:t>
      </w:r>
      <w:r w:rsidR="70B6664B" w:rsidRPr="6A337C21">
        <w:rPr>
          <w:lang w:val="en-US"/>
        </w:rPr>
        <w:t xml:space="preserve">In the figure, the dashed line represents the intra-frequency </w:t>
      </w:r>
      <w:proofErr w:type="gramStart"/>
      <w:r w:rsidR="70B6664B" w:rsidRPr="6A337C21">
        <w:rPr>
          <w:lang w:val="en-US"/>
        </w:rPr>
        <w:t>cells</w:t>
      </w:r>
      <w:proofErr w:type="gramEnd"/>
      <w:r w:rsidR="70B6664B" w:rsidRPr="6A337C21">
        <w:rPr>
          <w:lang w:val="en-US"/>
        </w:rPr>
        <w:t xml:space="preserve"> and the colors represent the inter-frequency cells. The numbers represent the SMTCs configuration for the </w:t>
      </w:r>
      <w:r w:rsidR="0075F355" w:rsidRPr="6A337C21">
        <w:rPr>
          <w:lang w:val="en-US"/>
        </w:rPr>
        <w:t xml:space="preserve">inter-frequency </w:t>
      </w:r>
      <w:r w:rsidR="70B6664B" w:rsidRPr="6A337C21">
        <w:rPr>
          <w:lang w:val="en-US"/>
        </w:rPr>
        <w:t>neighbor cell meas</w:t>
      </w:r>
      <w:r w:rsidR="2EE60756" w:rsidRPr="6A337C21">
        <w:rPr>
          <w:lang w:val="en-US"/>
        </w:rPr>
        <w:t>urements</w:t>
      </w:r>
      <w:r w:rsidR="42DFFFDC" w:rsidRPr="6A337C21">
        <w:rPr>
          <w:lang w:val="en-US"/>
        </w:rPr>
        <w:t xml:space="preserve">. </w:t>
      </w:r>
    </w:p>
    <w:p w14:paraId="30257560" w14:textId="7243A8D0" w:rsidR="7F3D44CC" w:rsidRDefault="0069502F" w:rsidP="6A337C21">
      <w:pPr>
        <w:rPr>
          <w:lang w:val="en-US"/>
        </w:rPr>
      </w:pPr>
      <w:r>
        <w:rPr>
          <w:lang w:val="en-US"/>
        </w:rPr>
        <w:t>UE1 is closer to the cells</w:t>
      </w:r>
      <w:r w:rsidR="7F3D44CC" w:rsidRPr="6A337C21">
        <w:rPr>
          <w:lang w:val="en-US"/>
        </w:rPr>
        <w:t>: 1, 4, 2 and 3</w:t>
      </w:r>
      <w:r>
        <w:rPr>
          <w:lang w:val="en-US"/>
        </w:rPr>
        <w:t>, in descending orde</w:t>
      </w:r>
      <w:r w:rsidR="00BF1E0B">
        <w:rPr>
          <w:lang w:val="en-US"/>
        </w:rPr>
        <w:t>r</w:t>
      </w:r>
      <w:r w:rsidR="7F3D44CC" w:rsidRPr="6A337C21">
        <w:rPr>
          <w:lang w:val="en-US"/>
        </w:rPr>
        <w:t xml:space="preserve">. And UE2 is closer to cells 1, 2, 3 and 4. Both would provide the same bitmap to the gNB. </w:t>
      </w:r>
      <w:r w:rsidR="003A4755">
        <w:rPr>
          <w:lang w:val="en-US"/>
        </w:rPr>
        <w:t xml:space="preserve">Additionally, in </w:t>
      </w:r>
      <w:r w:rsidR="7F3D44CC" w:rsidRPr="6A337C21">
        <w:rPr>
          <w:lang w:val="en-US"/>
        </w:rPr>
        <w:t xml:space="preserve">NTN, </w:t>
      </w:r>
      <w:r w:rsidR="008F1A18">
        <w:rPr>
          <w:lang w:val="en-US"/>
        </w:rPr>
        <w:t>in</w:t>
      </w:r>
      <w:r w:rsidR="7F3D44CC" w:rsidRPr="6A337C21">
        <w:rPr>
          <w:lang w:val="en-US"/>
        </w:rPr>
        <w:t xml:space="preserve"> RRC_CONNECTED, </w:t>
      </w:r>
      <w:r w:rsidR="008F1A18">
        <w:rPr>
          <w:lang w:val="en-US"/>
        </w:rPr>
        <w:t>a</w:t>
      </w:r>
      <w:r w:rsidR="7F3D44CC" w:rsidRPr="6A337C21">
        <w:rPr>
          <w:lang w:val="en-US"/>
        </w:rPr>
        <w:t xml:space="preserve"> UE can be configured with up to 4 SMTCs </w:t>
      </w:r>
      <w:r w:rsidR="00374360">
        <w:rPr>
          <w:lang w:val="en-US"/>
        </w:rPr>
        <w:t xml:space="preserve">per frequency layer </w:t>
      </w:r>
      <w:r w:rsidR="7F3D44CC" w:rsidRPr="6A337C21">
        <w:rPr>
          <w:lang w:val="en-US"/>
        </w:rPr>
        <w:t>and 2 measurement gap configurations</w:t>
      </w:r>
      <w:r w:rsidR="005E3142">
        <w:rPr>
          <w:lang w:val="en-US"/>
        </w:rPr>
        <w:t xml:space="preserve"> if </w:t>
      </w:r>
      <w:r w:rsidR="00980483">
        <w:rPr>
          <w:lang w:val="en-US"/>
        </w:rPr>
        <w:t>parallelMeasurementGap</w:t>
      </w:r>
      <w:r w:rsidR="001E7904">
        <w:rPr>
          <w:lang w:val="en-US"/>
        </w:rPr>
        <w:t>-r17 is indicated</w:t>
      </w:r>
      <w:r w:rsidR="7F3D44CC" w:rsidRPr="6A337C21">
        <w:rPr>
          <w:lang w:val="en-US"/>
        </w:rPr>
        <w:t>.</w:t>
      </w:r>
    </w:p>
    <w:p w14:paraId="665FFC86" w14:textId="2A8EEA3B" w:rsidR="00374360" w:rsidRDefault="00374360" w:rsidP="00374360">
      <w:r w:rsidRPr="003326FF">
        <w:rPr>
          <w:b/>
          <w:bCs/>
        </w:rPr>
        <w:t xml:space="preserve">Observation </w:t>
      </w:r>
      <w:r w:rsidR="0074468D">
        <w:rPr>
          <w:b/>
          <w:bCs/>
        </w:rPr>
        <w:t>4</w:t>
      </w:r>
      <w:r w:rsidRPr="003326FF">
        <w:rPr>
          <w:b/>
          <w:bCs/>
        </w:rPr>
        <w:t>:</w:t>
      </w:r>
      <w:r>
        <w:t xml:space="preserve"> The number of measurement gaps that can be configured per </w:t>
      </w:r>
      <w:r w:rsidR="000B60A6">
        <w:t>frequency layer</w:t>
      </w:r>
      <w:r w:rsidR="0087093F">
        <w:t xml:space="preserve"> (up to 2)</w:t>
      </w:r>
      <w:r w:rsidR="000B60A6">
        <w:t xml:space="preserve"> is smaller than the number of SMTCs</w:t>
      </w:r>
      <w:r w:rsidR="0087093F">
        <w:t xml:space="preserve"> (up to 4)</w:t>
      </w:r>
      <w:r w:rsidR="000B60A6">
        <w:t xml:space="preserve">. </w:t>
      </w:r>
      <w:r>
        <w:t xml:space="preserve"> </w:t>
      </w:r>
    </w:p>
    <w:p w14:paraId="488F6EBB" w14:textId="28F2073F" w:rsidR="00374360" w:rsidRDefault="0087093F" w:rsidP="6A337C21">
      <w:r>
        <w:t>The indication of 4 SMTCs per frequency layer may not provide enough information for the gNB</w:t>
      </w:r>
      <w:r w:rsidR="00296797">
        <w:t xml:space="preserve"> for the configuration of the measurement gaps. </w:t>
      </w:r>
      <w:r w:rsidR="00762373">
        <w:t xml:space="preserve">Consider the example in </w:t>
      </w:r>
      <w:r w:rsidR="00762373">
        <w:fldChar w:fldCharType="begin"/>
      </w:r>
      <w:r w:rsidR="00762373">
        <w:instrText xml:space="preserve"> REF _Ref213074488 \h </w:instrText>
      </w:r>
      <w:r w:rsidR="00762373">
        <w:fldChar w:fldCharType="separate"/>
      </w:r>
      <w:r w:rsidR="00762373">
        <w:t xml:space="preserve">Figure </w:t>
      </w:r>
      <w:r w:rsidR="00762373">
        <w:rPr>
          <w:noProof/>
        </w:rPr>
        <w:t>2</w:t>
      </w:r>
      <w:r w:rsidR="00762373">
        <w:fldChar w:fldCharType="end"/>
      </w:r>
      <w:r w:rsidR="00762373">
        <w:t xml:space="preserve">, in which the UE is configured with 4 SMTCs </w:t>
      </w:r>
      <w:r w:rsidR="00D11C4A">
        <w:t xml:space="preserve">for the </w:t>
      </w:r>
      <w:r w:rsidR="0067664E">
        <w:t>neighbour</w:t>
      </w:r>
      <w:r w:rsidR="00D11C4A">
        <w:t xml:space="preserve"> cell measurements, but only 2 measurement gaps can be configured. By receiving the bit map with the indication of </w:t>
      </w:r>
      <w:r w:rsidR="002A0C85">
        <w:t>SMTCs 1, 2, 3 and 4, the gNB may configure MG1 and MG</w:t>
      </w:r>
      <w:r w:rsidR="00932236">
        <w:t xml:space="preserve">3 for both UEs, when UE2 would </w:t>
      </w:r>
      <w:r w:rsidR="00421A76">
        <w:t>benefit from the configuration of MG</w:t>
      </w:r>
      <w:r w:rsidR="005C424E">
        <w:t>1 and MG2 instea</w:t>
      </w:r>
      <w:r w:rsidR="00D00006">
        <w:t>d</w:t>
      </w:r>
      <w:r w:rsidR="005C424E">
        <w:t xml:space="preserve">. </w:t>
      </w:r>
      <w:r w:rsidR="00D11C4A">
        <w:t xml:space="preserve">The indication of which </w:t>
      </w:r>
      <w:proofErr w:type="spellStart"/>
      <w:r w:rsidR="00D11C4A">
        <w:t>neighbor</w:t>
      </w:r>
      <w:proofErr w:type="spellEnd"/>
      <w:r w:rsidR="00D11C4A">
        <w:t xml:space="preserve"> cells are closer to the UE will not help the gNB in configuring the best measurement gap</w:t>
      </w:r>
      <w:r w:rsidR="005C424E">
        <w:t xml:space="preserve"> for inter-frequency measurements. </w:t>
      </w:r>
    </w:p>
    <w:p w14:paraId="5802A5AE" w14:textId="3E723405" w:rsidR="005C424E" w:rsidRDefault="005C424E" w:rsidP="6A337C21">
      <w:r>
        <w:t xml:space="preserve">Therefore, we propose that for inter-frequency measurements, the number of reported </w:t>
      </w:r>
      <w:r w:rsidR="0016252A">
        <w:t xml:space="preserve">locations in the reference location report is limited to the number of </w:t>
      </w:r>
      <w:r w:rsidR="002153E5">
        <w:t xml:space="preserve">measurement gaps that can be configured </w:t>
      </w:r>
      <w:r w:rsidR="00E2266F">
        <w:t xml:space="preserve">to a specific UE. </w:t>
      </w:r>
    </w:p>
    <w:p w14:paraId="351139B3" w14:textId="680CCE61" w:rsidR="00E2266F" w:rsidRDefault="00E2266F" w:rsidP="6A337C21">
      <w:r w:rsidRPr="00871C1B">
        <w:rPr>
          <w:b/>
        </w:rPr>
        <w:t xml:space="preserve">Proposal </w:t>
      </w:r>
      <w:r w:rsidR="00871C1B" w:rsidRPr="00871C1B">
        <w:rPr>
          <w:b/>
          <w:bCs/>
        </w:rPr>
        <w:t>4</w:t>
      </w:r>
      <w:r w:rsidRPr="00871C1B">
        <w:rPr>
          <w:b/>
        </w:rPr>
        <w:t>:</w:t>
      </w:r>
      <w:r>
        <w:t xml:space="preserve"> </w:t>
      </w:r>
      <w:r w:rsidR="0075128B">
        <w:t xml:space="preserve">The number of reference locations to be reported by a UE </w:t>
      </w:r>
      <w:r w:rsidR="0077060B">
        <w:t>for inter</w:t>
      </w:r>
      <w:r w:rsidR="00871C1B">
        <w:t>-frequency scenario</w:t>
      </w:r>
      <w:r w:rsidR="0075128B">
        <w:t xml:space="preserve"> is limited by the number of SMTCs that can be measured at the UE with 1 or 2 measurement gaps, depending on the UE capability. </w:t>
      </w:r>
    </w:p>
    <w:p w14:paraId="7A90E2FB" w14:textId="77777777" w:rsidR="0087093F" w:rsidRDefault="00E450B0" w:rsidP="00871C1B">
      <w:pPr>
        <w:keepNext/>
        <w:jc w:val="center"/>
      </w:pPr>
      <w:r w:rsidRPr="00E450B0">
        <w:rPr>
          <w:noProof/>
        </w:rPr>
        <w:drawing>
          <wp:inline distT="0" distB="0" distL="0" distR="0" wp14:anchorId="1EF70805" wp14:editId="241F8EE3">
            <wp:extent cx="3029106" cy="2070206"/>
            <wp:effectExtent l="0" t="0" r="0" b="6350"/>
            <wp:docPr id="929434272" name="Picture 1" descr="A hexagons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34272" name="Picture 1" descr="A hexagons with numbers and symbols&#10;&#10;AI-generated content may be incorrect."/>
                    <pic:cNvPicPr/>
                  </pic:nvPicPr>
                  <pic:blipFill>
                    <a:blip r:embed="rId16"/>
                    <a:stretch>
                      <a:fillRect/>
                    </a:stretch>
                  </pic:blipFill>
                  <pic:spPr>
                    <a:xfrm>
                      <a:off x="0" y="0"/>
                      <a:ext cx="3029106" cy="2070206"/>
                    </a:xfrm>
                    <a:prstGeom prst="rect">
                      <a:avLst/>
                    </a:prstGeom>
                  </pic:spPr>
                </pic:pic>
              </a:graphicData>
            </a:graphic>
          </wp:inline>
        </w:drawing>
      </w:r>
    </w:p>
    <w:p w14:paraId="5A344AD9" w14:textId="4F66B89E" w:rsidR="00D33687" w:rsidRDefault="0087093F" w:rsidP="0087093F">
      <w:pPr>
        <w:pStyle w:val="Caption"/>
        <w:jc w:val="center"/>
      </w:pPr>
      <w:bookmarkStart w:id="0" w:name="_Ref213074417"/>
      <w:r>
        <w:t xml:space="preserve">Figure </w:t>
      </w:r>
      <w:r>
        <w:fldChar w:fldCharType="begin"/>
      </w:r>
      <w:r>
        <w:instrText xml:space="preserve"> SEQ Figure \* ARABIC </w:instrText>
      </w:r>
      <w:r>
        <w:fldChar w:fldCharType="separate"/>
      </w:r>
      <w:r w:rsidR="002259B3">
        <w:rPr>
          <w:noProof/>
        </w:rPr>
        <w:t>1</w:t>
      </w:r>
      <w:r>
        <w:fldChar w:fldCharType="end"/>
      </w:r>
      <w:bookmarkEnd w:id="0"/>
      <w:r w:rsidR="002259B3">
        <w:t xml:space="preserve"> – Example of location report provided by UE1 and UE2</w:t>
      </w:r>
    </w:p>
    <w:p w14:paraId="7BA58F8C" w14:textId="77777777" w:rsidR="002259B3" w:rsidRDefault="009709D4" w:rsidP="00871C1B">
      <w:pPr>
        <w:keepNext/>
        <w:jc w:val="center"/>
      </w:pPr>
      <w:r w:rsidRPr="00712AE0">
        <w:rPr>
          <w:b/>
          <w:bCs/>
          <w:noProof/>
        </w:rPr>
        <w:lastRenderedPageBreak/>
        <w:drawing>
          <wp:inline distT="0" distB="0" distL="0" distR="0" wp14:anchorId="29B57DE5" wp14:editId="1406C9C4">
            <wp:extent cx="4833540" cy="2433320"/>
            <wp:effectExtent l="0" t="0" r="5715" b="5080"/>
            <wp:docPr id="1729761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76161" name="Picture 1" descr="A screenshot of a computer&#10;&#10;AI-generated content may be incorrect."/>
                    <pic:cNvPicPr/>
                  </pic:nvPicPr>
                  <pic:blipFill>
                    <a:blip r:embed="rId17"/>
                    <a:stretch>
                      <a:fillRect/>
                    </a:stretch>
                  </pic:blipFill>
                  <pic:spPr>
                    <a:xfrm>
                      <a:off x="0" y="0"/>
                      <a:ext cx="4840759" cy="2436954"/>
                    </a:xfrm>
                    <a:prstGeom prst="rect">
                      <a:avLst/>
                    </a:prstGeom>
                  </pic:spPr>
                </pic:pic>
              </a:graphicData>
            </a:graphic>
          </wp:inline>
        </w:drawing>
      </w:r>
    </w:p>
    <w:p w14:paraId="441B2F2F" w14:textId="1A9311AE" w:rsidR="004B28F2" w:rsidRDefault="002259B3" w:rsidP="00871C1B">
      <w:pPr>
        <w:pStyle w:val="Caption"/>
        <w:jc w:val="center"/>
      </w:pPr>
      <w:bookmarkStart w:id="1" w:name="_Ref213074488"/>
      <w:r>
        <w:t xml:space="preserve">Figure </w:t>
      </w:r>
      <w:r>
        <w:fldChar w:fldCharType="begin"/>
      </w:r>
      <w:r>
        <w:instrText xml:space="preserve"> SEQ Figure \* ARABIC </w:instrText>
      </w:r>
      <w:r>
        <w:fldChar w:fldCharType="separate"/>
      </w:r>
      <w:r>
        <w:rPr>
          <w:noProof/>
        </w:rPr>
        <w:t>2</w:t>
      </w:r>
      <w:r>
        <w:fldChar w:fldCharType="end"/>
      </w:r>
      <w:bookmarkEnd w:id="1"/>
      <w:r>
        <w:t xml:space="preserve"> - Example of SMTC configuration and Measurement Gaps (MG)</w:t>
      </w:r>
    </w:p>
    <w:p w14:paraId="03FDBC26" w14:textId="77777777" w:rsidR="00EC34CB" w:rsidRPr="006E13D1" w:rsidRDefault="00EC34CB" w:rsidP="00EC34CB">
      <w:pPr>
        <w:pStyle w:val="Heading1"/>
      </w:pPr>
      <w:r>
        <w:t>3</w:t>
      </w:r>
      <w:r w:rsidRPr="006E13D1">
        <w:tab/>
      </w:r>
      <w:r>
        <w:t>Conclusion</w:t>
      </w:r>
    </w:p>
    <w:p w14:paraId="64D493D2" w14:textId="53076032" w:rsidR="00EC34CB" w:rsidRPr="006E13D1" w:rsidRDefault="00EC34CB" w:rsidP="00EC34CB">
      <w:r>
        <w:t>This document has made the following observations</w:t>
      </w:r>
      <w:r w:rsidR="0038285E">
        <w:t xml:space="preserve"> and proposals</w:t>
      </w:r>
      <w:r>
        <w:t>:</w:t>
      </w:r>
    </w:p>
    <w:p w14:paraId="3B8F947D" w14:textId="77777777" w:rsidR="0038285E" w:rsidRDefault="0038285E" w:rsidP="0038285E">
      <w:r w:rsidRPr="00871C1B">
        <w:rPr>
          <w:b/>
        </w:rPr>
        <w:t xml:space="preserve">Observation </w:t>
      </w:r>
      <w:r>
        <w:rPr>
          <w:b/>
          <w:bCs/>
        </w:rPr>
        <w:t>1</w:t>
      </w:r>
      <w:r w:rsidRPr="00871C1B">
        <w:rPr>
          <w:b/>
        </w:rPr>
        <w:t>:</w:t>
      </w:r>
      <w:r>
        <w:t xml:space="preserve"> Both a legacy UE, and a UE not supporting the configuration of smtc5 nor refLocList-r19, relies only on SMTC and smtc4 for the measurement configuration. </w:t>
      </w:r>
    </w:p>
    <w:p w14:paraId="564AD6CF" w14:textId="77777777" w:rsidR="0038285E" w:rsidRDefault="0038285E" w:rsidP="0038285E">
      <w:r w:rsidRPr="00871C1B">
        <w:rPr>
          <w:b/>
        </w:rPr>
        <w:t xml:space="preserve">Proposal </w:t>
      </w:r>
      <w:r>
        <w:rPr>
          <w:b/>
          <w:bCs/>
        </w:rPr>
        <w:t>1</w:t>
      </w:r>
      <w:r w:rsidRPr="00871C1B">
        <w:rPr>
          <w:b/>
        </w:rPr>
        <w:t xml:space="preserve">: </w:t>
      </w:r>
      <w:r>
        <w:t>[A200] To not support issue A200.</w:t>
      </w:r>
    </w:p>
    <w:p w14:paraId="26D47344" w14:textId="7DCC1971" w:rsidR="0038285E" w:rsidRDefault="0038285E" w:rsidP="0038285E">
      <w:r w:rsidRPr="00871C1B">
        <w:rPr>
          <w:b/>
        </w:rPr>
        <w:t xml:space="preserve">Proposal </w:t>
      </w:r>
      <w:r>
        <w:rPr>
          <w:b/>
          <w:bCs/>
        </w:rPr>
        <w:t>2</w:t>
      </w:r>
      <w:r w:rsidRPr="00871C1B">
        <w:rPr>
          <w:b/>
        </w:rPr>
        <w:t>:</w:t>
      </w:r>
      <w:r>
        <w:t xml:space="preserve"> [H</w:t>
      </w:r>
      <w:proofErr w:type="gramStart"/>
      <w:r>
        <w:t>251]To</w:t>
      </w:r>
      <w:proofErr w:type="gramEnd"/>
      <w:r>
        <w:t xml:space="preserve"> not support issue H251.</w:t>
      </w:r>
    </w:p>
    <w:p w14:paraId="7C86437D" w14:textId="77777777" w:rsidR="0038285E" w:rsidRDefault="0038285E" w:rsidP="0038285E">
      <w:r w:rsidRPr="00871C1B">
        <w:rPr>
          <w:b/>
        </w:rPr>
        <w:t>Observation 2:</w:t>
      </w:r>
      <w:r>
        <w:t xml:space="preserve"> A UE should only obtain a new location from GNSS if needed i.e. to update timing advance etc. thus ping-pong report of closest reference locations may not be an issue.</w:t>
      </w:r>
    </w:p>
    <w:p w14:paraId="45D80606" w14:textId="77777777" w:rsidR="0038285E" w:rsidRPr="00747AD3" w:rsidRDefault="0038285E" w:rsidP="0038285E">
      <w:r w:rsidRPr="00871C1B">
        <w:rPr>
          <w:b/>
        </w:rPr>
        <w:t xml:space="preserve">Proposal 3: </w:t>
      </w:r>
      <w:r>
        <w:t>A prohibit timer for UE assistance information for reporting reference location report is not needed.</w:t>
      </w:r>
    </w:p>
    <w:p w14:paraId="78F04E6A" w14:textId="77777777" w:rsidR="0038285E" w:rsidRDefault="0038285E" w:rsidP="0038285E">
      <w:r w:rsidRPr="00871C1B">
        <w:rPr>
          <w:b/>
        </w:rPr>
        <w:t xml:space="preserve">Observation </w:t>
      </w:r>
      <w:r>
        <w:rPr>
          <w:b/>
          <w:bCs/>
        </w:rPr>
        <w:t>3</w:t>
      </w:r>
      <w:r w:rsidRPr="00871C1B">
        <w:rPr>
          <w:b/>
        </w:rPr>
        <w:t>:</w:t>
      </w:r>
      <w:r>
        <w:t xml:space="preserve"> RAN2 solution for the SMTC selection for inter-frequency measurements should consider the different scenarios regarding the overlap of the cells in the inter-frequency layers with the cells in the intra-frequency layer, prioritizing scenarios 1 to 3. </w:t>
      </w:r>
    </w:p>
    <w:p w14:paraId="4D2BA7BD" w14:textId="77777777" w:rsidR="0038285E" w:rsidRDefault="0038285E" w:rsidP="0038285E">
      <w:r w:rsidRPr="003326FF">
        <w:rPr>
          <w:b/>
          <w:bCs/>
        </w:rPr>
        <w:t xml:space="preserve">Observation </w:t>
      </w:r>
      <w:r>
        <w:rPr>
          <w:b/>
          <w:bCs/>
        </w:rPr>
        <w:t>4</w:t>
      </w:r>
      <w:r w:rsidRPr="003326FF">
        <w:rPr>
          <w:b/>
          <w:bCs/>
        </w:rPr>
        <w:t>:</w:t>
      </w:r>
      <w:r>
        <w:t xml:space="preserve"> The number of measurement gaps that can be configured per frequency layer (up to 2) is smaller than the number of SMTCs (up to 4).  </w:t>
      </w:r>
    </w:p>
    <w:p w14:paraId="43240D3F" w14:textId="77BE4C39" w:rsidR="00FA439B" w:rsidRPr="00EC34CB" w:rsidRDefault="0038285E" w:rsidP="0038285E">
      <w:r w:rsidRPr="00871C1B">
        <w:rPr>
          <w:b/>
        </w:rPr>
        <w:t xml:space="preserve">Proposal </w:t>
      </w:r>
      <w:r w:rsidRPr="00871C1B">
        <w:rPr>
          <w:b/>
          <w:bCs/>
        </w:rPr>
        <w:t>4</w:t>
      </w:r>
      <w:r w:rsidRPr="00871C1B">
        <w:rPr>
          <w:b/>
        </w:rPr>
        <w:t>:</w:t>
      </w:r>
      <w:r>
        <w:t xml:space="preserve"> The number of reference locations to be reported by a UE for inter-frequency scenario is limited by the number of SMTCs that can be measured at the UE with 1 or 2 measurement gaps, depending on the UE capability. </w:t>
      </w:r>
    </w:p>
    <w:sectPr w:rsidR="00FA439B" w:rsidRPr="00EC34C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B0A2D" w14:textId="77777777" w:rsidR="0083657E" w:rsidRDefault="0083657E">
      <w:r>
        <w:separator/>
      </w:r>
    </w:p>
  </w:endnote>
  <w:endnote w:type="continuationSeparator" w:id="0">
    <w:p w14:paraId="71F3A007" w14:textId="77777777" w:rsidR="0083657E" w:rsidRDefault="0083657E">
      <w:r>
        <w:continuationSeparator/>
      </w:r>
    </w:p>
  </w:endnote>
  <w:endnote w:type="continuationNotice" w:id="1">
    <w:p w14:paraId="3774EF97" w14:textId="77777777" w:rsidR="0083657E" w:rsidRDefault="00836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C5E7" w14:textId="77777777" w:rsidR="0083657E" w:rsidRDefault="0083657E">
      <w:r>
        <w:separator/>
      </w:r>
    </w:p>
  </w:footnote>
  <w:footnote w:type="continuationSeparator" w:id="0">
    <w:p w14:paraId="088A413B" w14:textId="77777777" w:rsidR="0083657E" w:rsidRDefault="0083657E">
      <w:r>
        <w:continuationSeparator/>
      </w:r>
    </w:p>
  </w:footnote>
  <w:footnote w:type="continuationNotice" w:id="1">
    <w:p w14:paraId="6CE5FD54" w14:textId="77777777" w:rsidR="0083657E" w:rsidRDefault="00836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FF84243"/>
    <w:multiLevelType w:val="hybridMultilevel"/>
    <w:tmpl w:val="F118D574"/>
    <w:lvl w:ilvl="0" w:tplc="D66A3AB8">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7"/>
  </w:num>
  <w:num w:numId="19" w16cid:durableId="709962461">
    <w:abstractNumId w:val="17"/>
  </w:num>
  <w:num w:numId="20" w16cid:durableId="7195209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C2"/>
    <w:rsid w:val="00013892"/>
    <w:rsid w:val="000145A1"/>
    <w:rsid w:val="00016557"/>
    <w:rsid w:val="00023C40"/>
    <w:rsid w:val="0002507D"/>
    <w:rsid w:val="00033397"/>
    <w:rsid w:val="00040095"/>
    <w:rsid w:val="000418DD"/>
    <w:rsid w:val="00065268"/>
    <w:rsid w:val="00065FCD"/>
    <w:rsid w:val="0007129F"/>
    <w:rsid w:val="0007262E"/>
    <w:rsid w:val="00073C9C"/>
    <w:rsid w:val="00075D18"/>
    <w:rsid w:val="00076412"/>
    <w:rsid w:val="00077278"/>
    <w:rsid w:val="00077906"/>
    <w:rsid w:val="00080512"/>
    <w:rsid w:val="0008232E"/>
    <w:rsid w:val="0008414A"/>
    <w:rsid w:val="00090468"/>
    <w:rsid w:val="00094568"/>
    <w:rsid w:val="000A52E1"/>
    <w:rsid w:val="000A54E0"/>
    <w:rsid w:val="000A62E6"/>
    <w:rsid w:val="000A6FCE"/>
    <w:rsid w:val="000B5D94"/>
    <w:rsid w:val="000B60A6"/>
    <w:rsid w:val="000B7BCF"/>
    <w:rsid w:val="000C1BF2"/>
    <w:rsid w:val="000C3F4D"/>
    <w:rsid w:val="000C522B"/>
    <w:rsid w:val="000C5B21"/>
    <w:rsid w:val="000C5B3C"/>
    <w:rsid w:val="000D14ED"/>
    <w:rsid w:val="000D3DFC"/>
    <w:rsid w:val="000D58AB"/>
    <w:rsid w:val="000E0DD3"/>
    <w:rsid w:val="000E400D"/>
    <w:rsid w:val="000E6003"/>
    <w:rsid w:val="000E6A53"/>
    <w:rsid w:val="0010008E"/>
    <w:rsid w:val="0010536C"/>
    <w:rsid w:val="00110030"/>
    <w:rsid w:val="0011046F"/>
    <w:rsid w:val="001104DC"/>
    <w:rsid w:val="00112F1A"/>
    <w:rsid w:val="0011377A"/>
    <w:rsid w:val="00125351"/>
    <w:rsid w:val="0012610D"/>
    <w:rsid w:val="001423FB"/>
    <w:rsid w:val="00144FD3"/>
    <w:rsid w:val="00145075"/>
    <w:rsid w:val="0014781E"/>
    <w:rsid w:val="00151F41"/>
    <w:rsid w:val="00161730"/>
    <w:rsid w:val="0016252A"/>
    <w:rsid w:val="00163A64"/>
    <w:rsid w:val="001640C6"/>
    <w:rsid w:val="00171328"/>
    <w:rsid w:val="001716F4"/>
    <w:rsid w:val="001741A0"/>
    <w:rsid w:val="00175FA0"/>
    <w:rsid w:val="0018542A"/>
    <w:rsid w:val="00194CD0"/>
    <w:rsid w:val="001A1E26"/>
    <w:rsid w:val="001A608B"/>
    <w:rsid w:val="001B49C9"/>
    <w:rsid w:val="001C23F4"/>
    <w:rsid w:val="001C4F79"/>
    <w:rsid w:val="001C7223"/>
    <w:rsid w:val="001D06CB"/>
    <w:rsid w:val="001D35DF"/>
    <w:rsid w:val="001D3C43"/>
    <w:rsid w:val="001E32B8"/>
    <w:rsid w:val="001E7904"/>
    <w:rsid w:val="001E7E99"/>
    <w:rsid w:val="001F168B"/>
    <w:rsid w:val="001F7831"/>
    <w:rsid w:val="0020074F"/>
    <w:rsid w:val="00204045"/>
    <w:rsid w:val="0020712B"/>
    <w:rsid w:val="00211247"/>
    <w:rsid w:val="002153E5"/>
    <w:rsid w:val="0021716B"/>
    <w:rsid w:val="00217467"/>
    <w:rsid w:val="002259B3"/>
    <w:rsid w:val="0022606D"/>
    <w:rsid w:val="00227C07"/>
    <w:rsid w:val="00231728"/>
    <w:rsid w:val="00236CA7"/>
    <w:rsid w:val="0024192A"/>
    <w:rsid w:val="00243AAD"/>
    <w:rsid w:val="00244A05"/>
    <w:rsid w:val="00246434"/>
    <w:rsid w:val="00250404"/>
    <w:rsid w:val="00256B74"/>
    <w:rsid w:val="002610D8"/>
    <w:rsid w:val="002665C7"/>
    <w:rsid w:val="002747EC"/>
    <w:rsid w:val="00280347"/>
    <w:rsid w:val="00280FF5"/>
    <w:rsid w:val="002852B7"/>
    <w:rsid w:val="002855BF"/>
    <w:rsid w:val="00286B6F"/>
    <w:rsid w:val="00290A7C"/>
    <w:rsid w:val="0029150B"/>
    <w:rsid w:val="00293D92"/>
    <w:rsid w:val="00296797"/>
    <w:rsid w:val="002A04DA"/>
    <w:rsid w:val="002A0917"/>
    <w:rsid w:val="002A0C85"/>
    <w:rsid w:val="002A26C4"/>
    <w:rsid w:val="002B2988"/>
    <w:rsid w:val="002B7E7A"/>
    <w:rsid w:val="002C6313"/>
    <w:rsid w:val="002F095F"/>
    <w:rsid w:val="002F0D22"/>
    <w:rsid w:val="002F32FD"/>
    <w:rsid w:val="00301BAD"/>
    <w:rsid w:val="00307EAD"/>
    <w:rsid w:val="00311B17"/>
    <w:rsid w:val="00315FA8"/>
    <w:rsid w:val="003172DC"/>
    <w:rsid w:val="00325AE3"/>
    <w:rsid w:val="00326069"/>
    <w:rsid w:val="0035462D"/>
    <w:rsid w:val="0035793C"/>
    <w:rsid w:val="0036459E"/>
    <w:rsid w:val="00364B41"/>
    <w:rsid w:val="00365256"/>
    <w:rsid w:val="00365EED"/>
    <w:rsid w:val="00372DF8"/>
    <w:rsid w:val="00374360"/>
    <w:rsid w:val="0038285E"/>
    <w:rsid w:val="00383096"/>
    <w:rsid w:val="003830A8"/>
    <w:rsid w:val="003846F6"/>
    <w:rsid w:val="00386D80"/>
    <w:rsid w:val="00392A35"/>
    <w:rsid w:val="0039346C"/>
    <w:rsid w:val="00395E3E"/>
    <w:rsid w:val="003A3CEC"/>
    <w:rsid w:val="003A41EF"/>
    <w:rsid w:val="003A4755"/>
    <w:rsid w:val="003A4756"/>
    <w:rsid w:val="003A4ED8"/>
    <w:rsid w:val="003B1481"/>
    <w:rsid w:val="003B40AD"/>
    <w:rsid w:val="003C0D3D"/>
    <w:rsid w:val="003C0D94"/>
    <w:rsid w:val="003C336A"/>
    <w:rsid w:val="003C3D6F"/>
    <w:rsid w:val="003C4E37"/>
    <w:rsid w:val="003C6B6C"/>
    <w:rsid w:val="003D0FD0"/>
    <w:rsid w:val="003D349D"/>
    <w:rsid w:val="003D6B42"/>
    <w:rsid w:val="003D7AAB"/>
    <w:rsid w:val="003E16BE"/>
    <w:rsid w:val="003F4E28"/>
    <w:rsid w:val="003F4FD4"/>
    <w:rsid w:val="003F76B6"/>
    <w:rsid w:val="00400506"/>
    <w:rsid w:val="004006E8"/>
    <w:rsid w:val="00401855"/>
    <w:rsid w:val="0041106B"/>
    <w:rsid w:val="0041223F"/>
    <w:rsid w:val="004163C0"/>
    <w:rsid w:val="00421A76"/>
    <w:rsid w:val="00423A7C"/>
    <w:rsid w:val="00426F1F"/>
    <w:rsid w:val="00427902"/>
    <w:rsid w:val="004363CC"/>
    <w:rsid w:val="0043654D"/>
    <w:rsid w:val="0043727C"/>
    <w:rsid w:val="004418ED"/>
    <w:rsid w:val="00444A01"/>
    <w:rsid w:val="00446330"/>
    <w:rsid w:val="0044697E"/>
    <w:rsid w:val="00446C3A"/>
    <w:rsid w:val="004573EE"/>
    <w:rsid w:val="00457837"/>
    <w:rsid w:val="00460B7E"/>
    <w:rsid w:val="00465587"/>
    <w:rsid w:val="0047710B"/>
    <w:rsid w:val="00477455"/>
    <w:rsid w:val="00483950"/>
    <w:rsid w:val="00483C46"/>
    <w:rsid w:val="004856AC"/>
    <w:rsid w:val="00495277"/>
    <w:rsid w:val="00495658"/>
    <w:rsid w:val="004A1F7B"/>
    <w:rsid w:val="004A4D0F"/>
    <w:rsid w:val="004B28F2"/>
    <w:rsid w:val="004B6435"/>
    <w:rsid w:val="004C04C2"/>
    <w:rsid w:val="004C1EAE"/>
    <w:rsid w:val="004C21BF"/>
    <w:rsid w:val="004C44D2"/>
    <w:rsid w:val="004D2B1C"/>
    <w:rsid w:val="004D3578"/>
    <w:rsid w:val="004D380D"/>
    <w:rsid w:val="004D78E9"/>
    <w:rsid w:val="004E213A"/>
    <w:rsid w:val="004E5344"/>
    <w:rsid w:val="004E7553"/>
    <w:rsid w:val="004E7CAC"/>
    <w:rsid w:val="004F4540"/>
    <w:rsid w:val="004F73A7"/>
    <w:rsid w:val="00503171"/>
    <w:rsid w:val="00505C7F"/>
    <w:rsid w:val="00506C28"/>
    <w:rsid w:val="0051402C"/>
    <w:rsid w:val="00534DA0"/>
    <w:rsid w:val="00537809"/>
    <w:rsid w:val="00541A65"/>
    <w:rsid w:val="0054235D"/>
    <w:rsid w:val="005432D9"/>
    <w:rsid w:val="00543E6C"/>
    <w:rsid w:val="00547FB9"/>
    <w:rsid w:val="00551B74"/>
    <w:rsid w:val="00551BCF"/>
    <w:rsid w:val="0055583B"/>
    <w:rsid w:val="00556AC0"/>
    <w:rsid w:val="005578E9"/>
    <w:rsid w:val="00560BA8"/>
    <w:rsid w:val="0056238A"/>
    <w:rsid w:val="00565087"/>
    <w:rsid w:val="0056573F"/>
    <w:rsid w:val="00571279"/>
    <w:rsid w:val="00573250"/>
    <w:rsid w:val="00575FC5"/>
    <w:rsid w:val="00577B8D"/>
    <w:rsid w:val="005822EA"/>
    <w:rsid w:val="005A0A04"/>
    <w:rsid w:val="005A13AB"/>
    <w:rsid w:val="005A378D"/>
    <w:rsid w:val="005A49C6"/>
    <w:rsid w:val="005A5862"/>
    <w:rsid w:val="005B5DB0"/>
    <w:rsid w:val="005C0E92"/>
    <w:rsid w:val="005C0F9B"/>
    <w:rsid w:val="005C1F90"/>
    <w:rsid w:val="005C3803"/>
    <w:rsid w:val="005C424E"/>
    <w:rsid w:val="005C766E"/>
    <w:rsid w:val="005C7CD5"/>
    <w:rsid w:val="005E3142"/>
    <w:rsid w:val="005E4734"/>
    <w:rsid w:val="005F4132"/>
    <w:rsid w:val="00600DBB"/>
    <w:rsid w:val="0060313F"/>
    <w:rsid w:val="0060379B"/>
    <w:rsid w:val="0060464A"/>
    <w:rsid w:val="00607198"/>
    <w:rsid w:val="00611566"/>
    <w:rsid w:val="00625E3C"/>
    <w:rsid w:val="00630A61"/>
    <w:rsid w:val="006355E6"/>
    <w:rsid w:val="00642BCF"/>
    <w:rsid w:val="00644056"/>
    <w:rsid w:val="006444E2"/>
    <w:rsid w:val="00646D99"/>
    <w:rsid w:val="00651AB8"/>
    <w:rsid w:val="00656910"/>
    <w:rsid w:val="006574C0"/>
    <w:rsid w:val="0065795A"/>
    <w:rsid w:val="00657BAB"/>
    <w:rsid w:val="00666F58"/>
    <w:rsid w:val="00670B9D"/>
    <w:rsid w:val="0067664E"/>
    <w:rsid w:val="00684DCB"/>
    <w:rsid w:val="00685D28"/>
    <w:rsid w:val="00691B01"/>
    <w:rsid w:val="00694D28"/>
    <w:rsid w:val="0069502F"/>
    <w:rsid w:val="00696821"/>
    <w:rsid w:val="006978A1"/>
    <w:rsid w:val="006A3127"/>
    <w:rsid w:val="006A7ECE"/>
    <w:rsid w:val="006C66D8"/>
    <w:rsid w:val="006D0813"/>
    <w:rsid w:val="006D1E24"/>
    <w:rsid w:val="006D1F3C"/>
    <w:rsid w:val="006D35DE"/>
    <w:rsid w:val="006D655A"/>
    <w:rsid w:val="006E1057"/>
    <w:rsid w:val="006E1417"/>
    <w:rsid w:val="006E45E1"/>
    <w:rsid w:val="006E72D8"/>
    <w:rsid w:val="006E7830"/>
    <w:rsid w:val="006F531A"/>
    <w:rsid w:val="006F596D"/>
    <w:rsid w:val="006F6A2C"/>
    <w:rsid w:val="006F6E99"/>
    <w:rsid w:val="00700FDC"/>
    <w:rsid w:val="00705A09"/>
    <w:rsid w:val="007069DC"/>
    <w:rsid w:val="00710201"/>
    <w:rsid w:val="00711E2B"/>
    <w:rsid w:val="00711E5E"/>
    <w:rsid w:val="0071711E"/>
    <w:rsid w:val="00717BF5"/>
    <w:rsid w:val="0072073A"/>
    <w:rsid w:val="007219CD"/>
    <w:rsid w:val="00723759"/>
    <w:rsid w:val="00723B23"/>
    <w:rsid w:val="00732CCD"/>
    <w:rsid w:val="007342B5"/>
    <w:rsid w:val="00734A5B"/>
    <w:rsid w:val="00736CCD"/>
    <w:rsid w:val="0074468D"/>
    <w:rsid w:val="00744E76"/>
    <w:rsid w:val="0074739B"/>
    <w:rsid w:val="00747AD3"/>
    <w:rsid w:val="0075128B"/>
    <w:rsid w:val="00757D40"/>
    <w:rsid w:val="0075F355"/>
    <w:rsid w:val="00762373"/>
    <w:rsid w:val="007662B5"/>
    <w:rsid w:val="0077060B"/>
    <w:rsid w:val="0077099E"/>
    <w:rsid w:val="007723F5"/>
    <w:rsid w:val="0077276C"/>
    <w:rsid w:val="00781F0F"/>
    <w:rsid w:val="007836B8"/>
    <w:rsid w:val="0078727C"/>
    <w:rsid w:val="0079049D"/>
    <w:rsid w:val="00793DC5"/>
    <w:rsid w:val="00796823"/>
    <w:rsid w:val="007A2E55"/>
    <w:rsid w:val="007A6D9F"/>
    <w:rsid w:val="007B034B"/>
    <w:rsid w:val="007B103F"/>
    <w:rsid w:val="007B18D8"/>
    <w:rsid w:val="007C095F"/>
    <w:rsid w:val="007C2D3E"/>
    <w:rsid w:val="007C2DD0"/>
    <w:rsid w:val="007C3FF8"/>
    <w:rsid w:val="007C5613"/>
    <w:rsid w:val="007D026D"/>
    <w:rsid w:val="007D27CC"/>
    <w:rsid w:val="007D7BE9"/>
    <w:rsid w:val="007E6E77"/>
    <w:rsid w:val="007F147C"/>
    <w:rsid w:val="007F2A26"/>
    <w:rsid w:val="007F2E08"/>
    <w:rsid w:val="008024FA"/>
    <w:rsid w:val="008028A4"/>
    <w:rsid w:val="00813245"/>
    <w:rsid w:val="008151AA"/>
    <w:rsid w:val="00821971"/>
    <w:rsid w:val="00825249"/>
    <w:rsid w:val="0083657E"/>
    <w:rsid w:val="00840DE0"/>
    <w:rsid w:val="00844F57"/>
    <w:rsid w:val="008451B9"/>
    <w:rsid w:val="008473E8"/>
    <w:rsid w:val="00847CD0"/>
    <w:rsid w:val="008546C4"/>
    <w:rsid w:val="00854E19"/>
    <w:rsid w:val="008607A8"/>
    <w:rsid w:val="0086354A"/>
    <w:rsid w:val="0087093F"/>
    <w:rsid w:val="00871C1B"/>
    <w:rsid w:val="00874497"/>
    <w:rsid w:val="008768CA"/>
    <w:rsid w:val="008771DF"/>
    <w:rsid w:val="00877EF9"/>
    <w:rsid w:val="00880559"/>
    <w:rsid w:val="00887E74"/>
    <w:rsid w:val="008A665C"/>
    <w:rsid w:val="008B5306"/>
    <w:rsid w:val="008B549E"/>
    <w:rsid w:val="008B54E8"/>
    <w:rsid w:val="008B7EA7"/>
    <w:rsid w:val="008C21AC"/>
    <w:rsid w:val="008C2E2A"/>
    <w:rsid w:val="008C3057"/>
    <w:rsid w:val="008C7256"/>
    <w:rsid w:val="008D0C8C"/>
    <w:rsid w:val="008D0FFC"/>
    <w:rsid w:val="008D2E4D"/>
    <w:rsid w:val="008D6D57"/>
    <w:rsid w:val="008E12FE"/>
    <w:rsid w:val="008E6876"/>
    <w:rsid w:val="008F1A18"/>
    <w:rsid w:val="008F396F"/>
    <w:rsid w:val="008F3DCD"/>
    <w:rsid w:val="0090271F"/>
    <w:rsid w:val="00902DB9"/>
    <w:rsid w:val="0090466A"/>
    <w:rsid w:val="00904F4A"/>
    <w:rsid w:val="00905E5A"/>
    <w:rsid w:val="009076D6"/>
    <w:rsid w:val="00911F55"/>
    <w:rsid w:val="00916074"/>
    <w:rsid w:val="00920EC1"/>
    <w:rsid w:val="00923655"/>
    <w:rsid w:val="009248C6"/>
    <w:rsid w:val="009276A1"/>
    <w:rsid w:val="00932236"/>
    <w:rsid w:val="009339CB"/>
    <w:rsid w:val="00936071"/>
    <w:rsid w:val="009376CD"/>
    <w:rsid w:val="00940212"/>
    <w:rsid w:val="009414C4"/>
    <w:rsid w:val="00942EC2"/>
    <w:rsid w:val="00944572"/>
    <w:rsid w:val="00944B2F"/>
    <w:rsid w:val="00961B32"/>
    <w:rsid w:val="00962509"/>
    <w:rsid w:val="00963492"/>
    <w:rsid w:val="00964BDC"/>
    <w:rsid w:val="009667CC"/>
    <w:rsid w:val="009709D4"/>
    <w:rsid w:val="00970DB3"/>
    <w:rsid w:val="00974BB0"/>
    <w:rsid w:val="00975BCD"/>
    <w:rsid w:val="00980483"/>
    <w:rsid w:val="009818A2"/>
    <w:rsid w:val="00981AD1"/>
    <w:rsid w:val="009861A5"/>
    <w:rsid w:val="00991804"/>
    <w:rsid w:val="009928A9"/>
    <w:rsid w:val="009978FD"/>
    <w:rsid w:val="009A0AF3"/>
    <w:rsid w:val="009A6F1B"/>
    <w:rsid w:val="009A745E"/>
    <w:rsid w:val="009B07CD"/>
    <w:rsid w:val="009C19E9"/>
    <w:rsid w:val="009D4729"/>
    <w:rsid w:val="009D7338"/>
    <w:rsid w:val="009D74A6"/>
    <w:rsid w:val="009E0E87"/>
    <w:rsid w:val="009E680C"/>
    <w:rsid w:val="00A10F02"/>
    <w:rsid w:val="00A11CEF"/>
    <w:rsid w:val="00A137E0"/>
    <w:rsid w:val="00A15A42"/>
    <w:rsid w:val="00A17176"/>
    <w:rsid w:val="00A204CA"/>
    <w:rsid w:val="00A209D6"/>
    <w:rsid w:val="00A2204F"/>
    <w:rsid w:val="00A22738"/>
    <w:rsid w:val="00A320DA"/>
    <w:rsid w:val="00A357AD"/>
    <w:rsid w:val="00A36F5F"/>
    <w:rsid w:val="00A372B2"/>
    <w:rsid w:val="00A430EC"/>
    <w:rsid w:val="00A451CD"/>
    <w:rsid w:val="00A527C4"/>
    <w:rsid w:val="00A52B43"/>
    <w:rsid w:val="00A53724"/>
    <w:rsid w:val="00A54B2B"/>
    <w:rsid w:val="00A6594D"/>
    <w:rsid w:val="00A67739"/>
    <w:rsid w:val="00A703B6"/>
    <w:rsid w:val="00A723E5"/>
    <w:rsid w:val="00A773B2"/>
    <w:rsid w:val="00A82346"/>
    <w:rsid w:val="00A87564"/>
    <w:rsid w:val="00A91FB1"/>
    <w:rsid w:val="00A938D0"/>
    <w:rsid w:val="00A9671C"/>
    <w:rsid w:val="00AA1553"/>
    <w:rsid w:val="00AB1EB3"/>
    <w:rsid w:val="00AC32F5"/>
    <w:rsid w:val="00AD2269"/>
    <w:rsid w:val="00AD7E7C"/>
    <w:rsid w:val="00AE3663"/>
    <w:rsid w:val="00AE3CD2"/>
    <w:rsid w:val="00AF0257"/>
    <w:rsid w:val="00AF052C"/>
    <w:rsid w:val="00B05380"/>
    <w:rsid w:val="00B05962"/>
    <w:rsid w:val="00B1009C"/>
    <w:rsid w:val="00B11F9F"/>
    <w:rsid w:val="00B12BC7"/>
    <w:rsid w:val="00B1339E"/>
    <w:rsid w:val="00B15449"/>
    <w:rsid w:val="00B16119"/>
    <w:rsid w:val="00B16C2F"/>
    <w:rsid w:val="00B20F71"/>
    <w:rsid w:val="00B26168"/>
    <w:rsid w:val="00B27303"/>
    <w:rsid w:val="00B3042F"/>
    <w:rsid w:val="00B4571A"/>
    <w:rsid w:val="00B461A3"/>
    <w:rsid w:val="00B47FD1"/>
    <w:rsid w:val="00B516BB"/>
    <w:rsid w:val="00B570A9"/>
    <w:rsid w:val="00B5751D"/>
    <w:rsid w:val="00B669E9"/>
    <w:rsid w:val="00B7054D"/>
    <w:rsid w:val="00B743F2"/>
    <w:rsid w:val="00B7538C"/>
    <w:rsid w:val="00B84DB2"/>
    <w:rsid w:val="00B85059"/>
    <w:rsid w:val="00B859D3"/>
    <w:rsid w:val="00B93B73"/>
    <w:rsid w:val="00B95BA1"/>
    <w:rsid w:val="00BA50F6"/>
    <w:rsid w:val="00BA5572"/>
    <w:rsid w:val="00BA661F"/>
    <w:rsid w:val="00BB2C96"/>
    <w:rsid w:val="00BB44CE"/>
    <w:rsid w:val="00BB5B47"/>
    <w:rsid w:val="00BC3555"/>
    <w:rsid w:val="00BD0050"/>
    <w:rsid w:val="00BD7761"/>
    <w:rsid w:val="00BF000C"/>
    <w:rsid w:val="00BF1E0B"/>
    <w:rsid w:val="00BF323A"/>
    <w:rsid w:val="00BF52AC"/>
    <w:rsid w:val="00C07241"/>
    <w:rsid w:val="00C12997"/>
    <w:rsid w:val="00C12B51"/>
    <w:rsid w:val="00C24650"/>
    <w:rsid w:val="00C25465"/>
    <w:rsid w:val="00C2590C"/>
    <w:rsid w:val="00C31806"/>
    <w:rsid w:val="00C33079"/>
    <w:rsid w:val="00C40D3A"/>
    <w:rsid w:val="00C472D5"/>
    <w:rsid w:val="00C55A12"/>
    <w:rsid w:val="00C62558"/>
    <w:rsid w:val="00C6553E"/>
    <w:rsid w:val="00C65E5C"/>
    <w:rsid w:val="00C73530"/>
    <w:rsid w:val="00C76E5E"/>
    <w:rsid w:val="00C834FC"/>
    <w:rsid w:val="00C83A13"/>
    <w:rsid w:val="00C8468C"/>
    <w:rsid w:val="00C86F10"/>
    <w:rsid w:val="00C9068C"/>
    <w:rsid w:val="00C9143E"/>
    <w:rsid w:val="00C92967"/>
    <w:rsid w:val="00C93760"/>
    <w:rsid w:val="00C9622E"/>
    <w:rsid w:val="00CA3D0C"/>
    <w:rsid w:val="00CA654B"/>
    <w:rsid w:val="00CA6F9D"/>
    <w:rsid w:val="00CA75D8"/>
    <w:rsid w:val="00CB183F"/>
    <w:rsid w:val="00CB1895"/>
    <w:rsid w:val="00CB27DB"/>
    <w:rsid w:val="00CB4C6D"/>
    <w:rsid w:val="00CB72B8"/>
    <w:rsid w:val="00CC21DA"/>
    <w:rsid w:val="00CD0BA8"/>
    <w:rsid w:val="00CD4C7B"/>
    <w:rsid w:val="00CD58FE"/>
    <w:rsid w:val="00CD60CB"/>
    <w:rsid w:val="00CD688D"/>
    <w:rsid w:val="00D00006"/>
    <w:rsid w:val="00D11846"/>
    <w:rsid w:val="00D11C4A"/>
    <w:rsid w:val="00D144AF"/>
    <w:rsid w:val="00D21E2F"/>
    <w:rsid w:val="00D223AC"/>
    <w:rsid w:val="00D33687"/>
    <w:rsid w:val="00D33BE3"/>
    <w:rsid w:val="00D3792D"/>
    <w:rsid w:val="00D4010E"/>
    <w:rsid w:val="00D410B4"/>
    <w:rsid w:val="00D430C3"/>
    <w:rsid w:val="00D4795F"/>
    <w:rsid w:val="00D54362"/>
    <w:rsid w:val="00D54820"/>
    <w:rsid w:val="00D55E47"/>
    <w:rsid w:val="00D61387"/>
    <w:rsid w:val="00D62E19"/>
    <w:rsid w:val="00D6524B"/>
    <w:rsid w:val="00D65CC9"/>
    <w:rsid w:val="00D67CD1"/>
    <w:rsid w:val="00D738D6"/>
    <w:rsid w:val="00D80795"/>
    <w:rsid w:val="00D854BE"/>
    <w:rsid w:val="00D87E00"/>
    <w:rsid w:val="00D90522"/>
    <w:rsid w:val="00D9134D"/>
    <w:rsid w:val="00D94857"/>
    <w:rsid w:val="00D96D11"/>
    <w:rsid w:val="00DA1415"/>
    <w:rsid w:val="00DA7A03"/>
    <w:rsid w:val="00DB0DB8"/>
    <w:rsid w:val="00DB17E4"/>
    <w:rsid w:val="00DB1818"/>
    <w:rsid w:val="00DC27CF"/>
    <w:rsid w:val="00DC309B"/>
    <w:rsid w:val="00DC4D39"/>
    <w:rsid w:val="00DC4DA2"/>
    <w:rsid w:val="00DC5261"/>
    <w:rsid w:val="00DC6C55"/>
    <w:rsid w:val="00DD700E"/>
    <w:rsid w:val="00DE1448"/>
    <w:rsid w:val="00DE25D2"/>
    <w:rsid w:val="00DF1698"/>
    <w:rsid w:val="00DF29F3"/>
    <w:rsid w:val="00DF7C20"/>
    <w:rsid w:val="00E00A9C"/>
    <w:rsid w:val="00E02C7C"/>
    <w:rsid w:val="00E038FB"/>
    <w:rsid w:val="00E21537"/>
    <w:rsid w:val="00E215FA"/>
    <w:rsid w:val="00E2223C"/>
    <w:rsid w:val="00E2266F"/>
    <w:rsid w:val="00E314C8"/>
    <w:rsid w:val="00E32055"/>
    <w:rsid w:val="00E320A9"/>
    <w:rsid w:val="00E42A2B"/>
    <w:rsid w:val="00E450B0"/>
    <w:rsid w:val="00E46C08"/>
    <w:rsid w:val="00E471CF"/>
    <w:rsid w:val="00E50C29"/>
    <w:rsid w:val="00E62835"/>
    <w:rsid w:val="00E6480E"/>
    <w:rsid w:val="00E75C20"/>
    <w:rsid w:val="00E77645"/>
    <w:rsid w:val="00E77A13"/>
    <w:rsid w:val="00E83697"/>
    <w:rsid w:val="00E859B6"/>
    <w:rsid w:val="00E862B3"/>
    <w:rsid w:val="00E904FF"/>
    <w:rsid w:val="00EA5072"/>
    <w:rsid w:val="00EA66C9"/>
    <w:rsid w:val="00EA78AC"/>
    <w:rsid w:val="00EB5D32"/>
    <w:rsid w:val="00EC0DC4"/>
    <w:rsid w:val="00EC118C"/>
    <w:rsid w:val="00EC34CB"/>
    <w:rsid w:val="00EC4A25"/>
    <w:rsid w:val="00EC663E"/>
    <w:rsid w:val="00EC7677"/>
    <w:rsid w:val="00ED1C74"/>
    <w:rsid w:val="00EF2D07"/>
    <w:rsid w:val="00EF612C"/>
    <w:rsid w:val="00EF6712"/>
    <w:rsid w:val="00F025A2"/>
    <w:rsid w:val="00F025CC"/>
    <w:rsid w:val="00F036E9"/>
    <w:rsid w:val="00F07388"/>
    <w:rsid w:val="00F2026E"/>
    <w:rsid w:val="00F20CF0"/>
    <w:rsid w:val="00F2210A"/>
    <w:rsid w:val="00F25A0C"/>
    <w:rsid w:val="00F30650"/>
    <w:rsid w:val="00F31372"/>
    <w:rsid w:val="00F37743"/>
    <w:rsid w:val="00F40C2F"/>
    <w:rsid w:val="00F42493"/>
    <w:rsid w:val="00F54A3D"/>
    <w:rsid w:val="00F54CB0"/>
    <w:rsid w:val="00F579CD"/>
    <w:rsid w:val="00F653B8"/>
    <w:rsid w:val="00F67761"/>
    <w:rsid w:val="00F71B89"/>
    <w:rsid w:val="00F7290D"/>
    <w:rsid w:val="00F7353C"/>
    <w:rsid w:val="00F76F8F"/>
    <w:rsid w:val="00F81093"/>
    <w:rsid w:val="00F831CA"/>
    <w:rsid w:val="00F87048"/>
    <w:rsid w:val="00F87257"/>
    <w:rsid w:val="00F91416"/>
    <w:rsid w:val="00F941DF"/>
    <w:rsid w:val="00FA0C84"/>
    <w:rsid w:val="00FA1266"/>
    <w:rsid w:val="00FA439B"/>
    <w:rsid w:val="00FB36FA"/>
    <w:rsid w:val="00FB78B3"/>
    <w:rsid w:val="00FC1192"/>
    <w:rsid w:val="00FC21EC"/>
    <w:rsid w:val="00FC2F7E"/>
    <w:rsid w:val="00FD192A"/>
    <w:rsid w:val="00FD1A23"/>
    <w:rsid w:val="00FD28F4"/>
    <w:rsid w:val="00FE0664"/>
    <w:rsid w:val="00FE106D"/>
    <w:rsid w:val="00FE251B"/>
    <w:rsid w:val="00FF783E"/>
    <w:rsid w:val="012165E4"/>
    <w:rsid w:val="03A1E01F"/>
    <w:rsid w:val="0614C9D6"/>
    <w:rsid w:val="0E1D0E1F"/>
    <w:rsid w:val="142DE97C"/>
    <w:rsid w:val="1B713225"/>
    <w:rsid w:val="1C86D153"/>
    <w:rsid w:val="22C77D8F"/>
    <w:rsid w:val="2844310F"/>
    <w:rsid w:val="2D628600"/>
    <w:rsid w:val="2D7A0DA6"/>
    <w:rsid w:val="2EE60756"/>
    <w:rsid w:val="3731498B"/>
    <w:rsid w:val="3BA1F821"/>
    <w:rsid w:val="42DFFFDC"/>
    <w:rsid w:val="46035D61"/>
    <w:rsid w:val="4619F88E"/>
    <w:rsid w:val="4A2FFDEE"/>
    <w:rsid w:val="4D3190A1"/>
    <w:rsid w:val="531C3E6C"/>
    <w:rsid w:val="5A26A644"/>
    <w:rsid w:val="5BCC3B3C"/>
    <w:rsid w:val="61DC0D08"/>
    <w:rsid w:val="64C36B00"/>
    <w:rsid w:val="65196EB1"/>
    <w:rsid w:val="659BF03A"/>
    <w:rsid w:val="68E84002"/>
    <w:rsid w:val="6A337C21"/>
    <w:rsid w:val="6ADF21E5"/>
    <w:rsid w:val="6BB150F7"/>
    <w:rsid w:val="6CA5DD93"/>
    <w:rsid w:val="70B6664B"/>
    <w:rsid w:val="70CC2089"/>
    <w:rsid w:val="72BFB180"/>
    <w:rsid w:val="735B7BC6"/>
    <w:rsid w:val="7F3D44CC"/>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21EB1BF-8FF1-439B-A84D-255C2989D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character" w:customStyle="1" w:styleId="NOChar">
    <w:name w:val="NO Char"/>
    <w:link w:val="NO"/>
    <w:qFormat/>
    <w:rsid w:val="003C0D3D"/>
    <w:rPr>
      <w:lang w:eastAsia="en-US"/>
    </w:rPr>
  </w:style>
  <w:style w:type="character" w:customStyle="1" w:styleId="B1Char1">
    <w:name w:val="B1 Char1"/>
    <w:link w:val="B1"/>
    <w:qFormat/>
    <w:rsid w:val="003C0D3D"/>
    <w:rPr>
      <w:lang w:eastAsia="en-US"/>
    </w:rPr>
  </w:style>
  <w:style w:type="character" w:customStyle="1" w:styleId="B2Char">
    <w:name w:val="B2 Char"/>
    <w:link w:val="B2"/>
    <w:qFormat/>
    <w:rsid w:val="003C0D3D"/>
    <w:rPr>
      <w:lang w:eastAsia="en-US"/>
    </w:rPr>
  </w:style>
  <w:style w:type="character" w:customStyle="1" w:styleId="B3Char2">
    <w:name w:val="B3 Char2"/>
    <w:link w:val="B3"/>
    <w:qFormat/>
    <w:rsid w:val="003C0D3D"/>
    <w:rPr>
      <w:lang w:eastAsia="en-US"/>
    </w:rPr>
  </w:style>
  <w:style w:type="character" w:customStyle="1" w:styleId="B4Char">
    <w:name w:val="B4 Char"/>
    <w:link w:val="B4"/>
    <w:qFormat/>
    <w:rsid w:val="003C0D3D"/>
    <w:rPr>
      <w:lang w:eastAsia="en-US"/>
    </w:rPr>
  </w:style>
  <w:style w:type="character" w:styleId="UnresolvedMention">
    <w:name w:val="Unresolved Mention"/>
    <w:basedOn w:val="DefaultParagraphFont"/>
    <w:rsid w:val="003A3CEC"/>
    <w:rPr>
      <w:color w:val="605E5C"/>
      <w:shd w:val="clear" w:color="auto" w:fill="E1DFDD"/>
    </w:rPr>
  </w:style>
  <w:style w:type="table" w:styleId="TableGrid">
    <w:name w:val="Table Grid"/>
    <w:basedOn w:val="TableNormal"/>
    <w:rsid w:val="00A91FB1"/>
    <w:tblPr/>
  </w:style>
  <w:style w:type="paragraph" w:customStyle="1" w:styleId="TAL">
    <w:name w:val="TAL"/>
    <w:basedOn w:val="Normal"/>
    <w:link w:val="TALChar"/>
    <w:qFormat/>
    <w:rsid w:val="00B570A9"/>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
    <w:name w:val="TAL Char"/>
    <w:link w:val="TAL"/>
    <w:rsid w:val="00B570A9"/>
    <w:rPr>
      <w:rFonts w:ascii="Arial" w:eastAsia="MS Mincho" w:hAnsi="Arial"/>
      <w:sz w:val="18"/>
      <w:lang w:eastAsia="en-US"/>
    </w:rPr>
  </w:style>
  <w:style w:type="paragraph" w:styleId="Revision">
    <w:name w:val="Revision"/>
    <w:hidden/>
    <w:uiPriority w:val="99"/>
    <w:semiHidden/>
    <w:rsid w:val="006D1F3C"/>
    <w:rPr>
      <w:lang w:eastAsia="en-US"/>
    </w:rPr>
  </w:style>
  <w:style w:type="character" w:styleId="Mention">
    <w:name w:val="Mention"/>
    <w:basedOn w:val="DefaultParagraphFont"/>
    <w:uiPriority w:val="99"/>
    <w:unhideWhenUsed/>
    <w:rsid w:val="0029150B"/>
    <w:rPr>
      <w:color w:val="2B579A"/>
      <w:shd w:val="clear" w:color="auto" w:fill="E1DFDD"/>
    </w:rPr>
  </w:style>
  <w:style w:type="paragraph" w:styleId="Footer">
    <w:name w:val="footer"/>
    <w:basedOn w:val="Normal"/>
    <w:link w:val="FooterChar"/>
    <w:rsid w:val="005822EA"/>
    <w:pPr>
      <w:tabs>
        <w:tab w:val="center" w:pos="4680"/>
        <w:tab w:val="right" w:pos="9360"/>
      </w:tabs>
      <w:spacing w:after="0"/>
    </w:pPr>
  </w:style>
  <w:style w:type="character" w:customStyle="1" w:styleId="FooterChar">
    <w:name w:val="Footer Char"/>
    <w:basedOn w:val="DefaultParagraphFont"/>
    <w:link w:val="Footer"/>
    <w:rsid w:val="005822EA"/>
    <w:rPr>
      <w:lang w:eastAsia="en-US"/>
    </w:rPr>
  </w:style>
  <w:style w:type="paragraph" w:styleId="ListParagraph">
    <w:name w:val="List Paragraph"/>
    <w:basedOn w:val="Normal"/>
    <w:uiPriority w:val="34"/>
    <w:qFormat/>
    <w:rsid w:val="00DC4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23915266">
      <w:bodyDiv w:val="1"/>
      <w:marLeft w:val="0"/>
      <w:marRight w:val="0"/>
      <w:marTop w:val="0"/>
      <w:marBottom w:val="0"/>
      <w:divBdr>
        <w:top w:val="none" w:sz="0" w:space="0" w:color="auto"/>
        <w:left w:val="none" w:sz="0" w:space="0" w:color="auto"/>
        <w:bottom w:val="none" w:sz="0" w:space="0" w:color="auto"/>
        <w:right w:val="none" w:sz="0" w:space="0" w:color="auto"/>
      </w:divBdr>
    </w:div>
    <w:div w:id="520313799">
      <w:bodyDiv w:val="1"/>
      <w:marLeft w:val="0"/>
      <w:marRight w:val="0"/>
      <w:marTop w:val="0"/>
      <w:marBottom w:val="0"/>
      <w:divBdr>
        <w:top w:val="none" w:sz="0" w:space="0" w:color="auto"/>
        <w:left w:val="none" w:sz="0" w:space="0" w:color="auto"/>
        <w:bottom w:val="none" w:sz="0" w:space="0" w:color="auto"/>
        <w:right w:val="none" w:sz="0" w:space="0" w:color="auto"/>
      </w:divBdr>
    </w:div>
    <w:div w:id="7538244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990634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1bis/Docs/R2-2507123.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31bis/Docs/R2-2507763.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1bis/Docs/R2-2507151.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RBI5PAMIO524-1616901215-60648</_dlc_DocId>
    <_dlc_DocIdUrl xmlns="71c5aaf6-e6ce-465b-b873-5148d2a4c105">
      <Url>https://nokia.sharepoint.com/sites/gxp/_layouts/15/DocIdRedir.aspx?ID=RBI5PAMIO524-1616901215-60648</Url>
      <Description>RBI5PAMIO524-1616901215-60648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B23DC-A03D-4F33-A8CE-E8945F9B0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4</Pages>
  <Words>1857</Words>
  <Characters>9824</Characters>
  <Application>Microsoft Office Word</Application>
  <DocSecurity>0</DocSecurity>
  <Lines>166</Lines>
  <Paragraphs>89</Paragraphs>
  <ScaleCrop>false</ScaleCrop>
  <Manager/>
  <Company>Nokia</Company>
  <LinksUpToDate>false</LinksUpToDate>
  <CharactersWithSpaces>11592</CharactersWithSpaces>
  <SharedDoc>false</SharedDoc>
  <HyperlinkBase/>
  <HLinks>
    <vt:vector size="36" baseType="variant">
      <vt:variant>
        <vt:i4>1572910</vt:i4>
      </vt:variant>
      <vt:variant>
        <vt:i4>0</vt:i4>
      </vt:variant>
      <vt:variant>
        <vt:i4>0</vt:i4>
      </vt:variant>
      <vt:variant>
        <vt:i4>5</vt:i4>
      </vt:variant>
      <vt:variant>
        <vt:lpwstr>https://www.3gpp.org/ftp/tsg_ran/WG2_RL2/TSGR2_131bis/Docs/R2-2507123.zip</vt:lpwstr>
      </vt:variant>
      <vt:variant>
        <vt:lpwstr/>
      </vt:variant>
      <vt:variant>
        <vt:i4>6488085</vt:i4>
      </vt:variant>
      <vt:variant>
        <vt:i4>12</vt:i4>
      </vt:variant>
      <vt:variant>
        <vt:i4>0</vt:i4>
      </vt:variant>
      <vt:variant>
        <vt:i4>5</vt:i4>
      </vt:variant>
      <vt:variant>
        <vt:lpwstr>mailto:jakob.buthler@nokia.com</vt:lpwstr>
      </vt:variant>
      <vt:variant>
        <vt:lpwstr/>
      </vt:variant>
      <vt:variant>
        <vt:i4>6488085</vt:i4>
      </vt:variant>
      <vt:variant>
        <vt:i4>9</vt:i4>
      </vt:variant>
      <vt:variant>
        <vt:i4>0</vt:i4>
      </vt:variant>
      <vt:variant>
        <vt:i4>5</vt:i4>
      </vt:variant>
      <vt:variant>
        <vt:lpwstr>mailto:jakob.buthler@nokia.com</vt:lpwstr>
      </vt:variant>
      <vt:variant>
        <vt:lpwstr/>
      </vt:variant>
      <vt:variant>
        <vt:i4>1572902</vt:i4>
      </vt:variant>
      <vt:variant>
        <vt:i4>6</vt:i4>
      </vt:variant>
      <vt:variant>
        <vt:i4>0</vt:i4>
      </vt:variant>
      <vt:variant>
        <vt:i4>5</vt:i4>
      </vt:variant>
      <vt:variant>
        <vt:lpwstr>https://www.3gpp.org/ftp/tsg_ran/WG2_RL2/TSGR2_131bis/Docs/R2-2507329.zip</vt:lpwstr>
      </vt:variant>
      <vt:variant>
        <vt:lpwstr/>
      </vt:variant>
      <vt:variant>
        <vt:i4>6488085</vt:i4>
      </vt:variant>
      <vt:variant>
        <vt:i4>3</vt:i4>
      </vt:variant>
      <vt:variant>
        <vt:i4>0</vt:i4>
      </vt:variant>
      <vt:variant>
        <vt:i4>5</vt:i4>
      </vt:variant>
      <vt:variant>
        <vt:lpwstr>mailto:jakob.buthler@nokia.com</vt:lpwstr>
      </vt:variant>
      <vt:variant>
        <vt:lpwstr/>
      </vt:variant>
      <vt:variant>
        <vt:i4>6488085</vt:i4>
      </vt:variant>
      <vt:variant>
        <vt:i4>0</vt:i4>
      </vt:variant>
      <vt:variant>
        <vt:i4>0</vt:i4>
      </vt:variant>
      <vt:variant>
        <vt:i4>5</vt:i4>
      </vt:variant>
      <vt:variant>
        <vt:lpwstr>mailto:jakob.buthler@nokia.com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328</cp:revision>
  <dcterms:created xsi:type="dcterms:W3CDTF">2016-08-13T07:53:00Z</dcterms:created>
  <dcterms:modified xsi:type="dcterms:W3CDTF">2025-11-07T08:40:00Z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2aab808d-af64-46c1-9678-c9f60a2b5077</vt:lpwstr>
  </property>
</Properties>
</file>